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9D5BF" w14:textId="423B405A" w:rsidR="0036099D" w:rsidRPr="009810C7" w:rsidRDefault="004907F2" w:rsidP="00CE3C47">
      <w:pPr>
        <w:ind w:left="720" w:hanging="360"/>
        <w:jc w:val="both"/>
        <w:rPr>
          <w:sz w:val="24"/>
          <w:szCs w:val="24"/>
          <w:lang w:val="en-US"/>
        </w:rPr>
      </w:pPr>
      <w:r w:rsidRPr="009810C7">
        <w:rPr>
          <w:sz w:val="24"/>
          <w:szCs w:val="24"/>
          <w:lang w:val="en-US"/>
        </w:rPr>
        <w:t>O</w:t>
      </w:r>
      <w:r w:rsidR="0036099D" w:rsidRPr="009810C7">
        <w:rPr>
          <w:sz w:val="24"/>
          <w:szCs w:val="24"/>
          <w:lang w:val="en-US"/>
        </w:rPr>
        <w:t>verview of the purpose of the provided files</w:t>
      </w:r>
      <w:r w:rsidRPr="009810C7">
        <w:rPr>
          <w:sz w:val="24"/>
          <w:szCs w:val="24"/>
          <w:lang w:val="en-US"/>
        </w:rPr>
        <w:t>:</w:t>
      </w:r>
    </w:p>
    <w:p w14:paraId="65D1EA82" w14:textId="7C8CE179" w:rsidR="009810C7" w:rsidRPr="009810C7" w:rsidRDefault="00F60812" w:rsidP="00CE3C47">
      <w:pPr>
        <w:pStyle w:val="Prrafodelista"/>
        <w:numPr>
          <w:ilvl w:val="0"/>
          <w:numId w:val="1"/>
        </w:numPr>
        <w:spacing w:after="120" w:line="276" w:lineRule="auto"/>
        <w:jc w:val="both"/>
        <w:rPr>
          <w:rFonts w:cstheme="minorHAnsi"/>
          <w:sz w:val="24"/>
          <w:szCs w:val="24"/>
          <w:lang w:val="en-US"/>
        </w:rPr>
      </w:pPr>
      <w:r w:rsidRPr="009810C7">
        <w:rPr>
          <w:rFonts w:cstheme="minorHAnsi"/>
          <w:sz w:val="24"/>
          <w:szCs w:val="24"/>
          <w:lang w:val="en-US"/>
        </w:rPr>
        <w:t>“</w:t>
      </w:r>
      <w:proofErr w:type="spellStart"/>
      <w:r w:rsidRPr="009810C7">
        <w:rPr>
          <w:rFonts w:cstheme="minorHAnsi"/>
          <w:b/>
          <w:bCs/>
          <w:sz w:val="24"/>
          <w:szCs w:val="24"/>
          <w:lang w:val="en-US"/>
        </w:rPr>
        <w:t>mRNAlevels.m</w:t>
      </w:r>
      <w:proofErr w:type="spellEnd"/>
      <w:r w:rsidRPr="009810C7">
        <w:rPr>
          <w:rFonts w:cstheme="minorHAnsi"/>
          <w:sz w:val="24"/>
          <w:szCs w:val="24"/>
          <w:lang w:val="en-US"/>
        </w:rPr>
        <w:t>”</w:t>
      </w:r>
      <w:r w:rsidR="009810C7" w:rsidRPr="009810C7">
        <w:rPr>
          <w:rFonts w:cstheme="minorHAnsi"/>
          <w:sz w:val="24"/>
          <w:szCs w:val="24"/>
          <w:lang w:val="en-US"/>
        </w:rPr>
        <w:t xml:space="preserve">: </w:t>
      </w:r>
      <w:r w:rsidR="00326DC9">
        <w:rPr>
          <w:rFonts w:cstheme="minorHAnsi"/>
          <w:sz w:val="24"/>
          <w:szCs w:val="24"/>
          <w:lang w:val="en-US"/>
        </w:rPr>
        <w:t>i</w:t>
      </w:r>
      <w:r w:rsidR="009810C7" w:rsidRPr="009810C7">
        <w:rPr>
          <w:rFonts w:cstheme="minorHAnsi"/>
          <w:sz w:val="24"/>
          <w:szCs w:val="24"/>
          <w:lang w:val="en-US"/>
        </w:rPr>
        <w:t xml:space="preserve">t contains the mean and standard deviation of the expression levels </w:t>
      </w:r>
      <w:r w:rsidR="009810C7" w:rsidRPr="009810C7">
        <w:rPr>
          <w:rFonts w:cstheme="minorHAnsi"/>
          <w:sz w:val="24"/>
          <w:szCs w:val="24"/>
          <w:lang w:val="en-US"/>
        </w:rPr>
        <w:t xml:space="preserve">(mRNA) </w:t>
      </w:r>
      <w:r w:rsidR="009810C7" w:rsidRPr="009810C7">
        <w:rPr>
          <w:rFonts w:cstheme="minorHAnsi"/>
          <w:sz w:val="24"/>
          <w:szCs w:val="24"/>
          <w:lang w:val="en-US"/>
        </w:rPr>
        <w:t xml:space="preserve">of different </w:t>
      </w:r>
      <w:r w:rsidR="009810C7" w:rsidRPr="009810C7">
        <w:rPr>
          <w:rFonts w:cstheme="minorHAnsi"/>
          <w:sz w:val="24"/>
          <w:szCs w:val="24"/>
          <w:lang w:val="en-US"/>
        </w:rPr>
        <w:t xml:space="preserve">ion </w:t>
      </w:r>
      <w:r w:rsidR="009810C7" w:rsidRPr="009810C7">
        <w:rPr>
          <w:rFonts w:cstheme="minorHAnsi"/>
          <w:sz w:val="24"/>
          <w:szCs w:val="24"/>
          <w:lang w:val="en-US"/>
        </w:rPr>
        <w:t>channel</w:t>
      </w:r>
      <w:r w:rsidR="009810C7" w:rsidRPr="009810C7">
        <w:rPr>
          <w:rFonts w:cstheme="minorHAnsi"/>
          <w:sz w:val="24"/>
          <w:szCs w:val="24"/>
          <w:lang w:val="en-US"/>
        </w:rPr>
        <w:t xml:space="preserve"> </w:t>
      </w:r>
      <w:proofErr w:type="spellStart"/>
      <w:r w:rsidR="009810C7" w:rsidRPr="009810C7">
        <w:rPr>
          <w:rFonts w:cstheme="minorHAnsi"/>
          <w:sz w:val="24"/>
          <w:szCs w:val="24"/>
          <w:lang w:val="en-US"/>
        </w:rPr>
        <w:t>conductances</w:t>
      </w:r>
      <w:proofErr w:type="spellEnd"/>
      <w:r w:rsidR="009810C7" w:rsidRPr="009810C7">
        <w:rPr>
          <w:rFonts w:cstheme="minorHAnsi"/>
          <w:sz w:val="24"/>
          <w:szCs w:val="24"/>
          <w:lang w:val="en-US"/>
        </w:rPr>
        <w:t xml:space="preserve"> form males and females</w:t>
      </w:r>
      <w:r w:rsidR="009810C7" w:rsidRPr="009810C7">
        <w:rPr>
          <w:rFonts w:cstheme="minorHAnsi"/>
          <w:sz w:val="24"/>
          <w:szCs w:val="24"/>
          <w:lang w:val="en-US"/>
        </w:rPr>
        <w:t xml:space="preserve">, taken from </w:t>
      </w:r>
      <w:proofErr w:type="spellStart"/>
      <w:r w:rsidR="009810C7" w:rsidRPr="009810C7">
        <w:rPr>
          <w:rFonts w:cstheme="minorHAnsi"/>
          <w:sz w:val="24"/>
          <w:szCs w:val="24"/>
          <w:lang w:val="en-US"/>
        </w:rPr>
        <w:t>Gaborit</w:t>
      </w:r>
      <w:proofErr w:type="spellEnd"/>
      <w:r w:rsidR="009810C7" w:rsidRPr="009810C7">
        <w:rPr>
          <w:rFonts w:cstheme="minorHAnsi"/>
          <w:sz w:val="24"/>
          <w:szCs w:val="24"/>
          <w:lang w:val="en-US"/>
        </w:rPr>
        <w:t xml:space="preserve"> et al. (2010)</w:t>
      </w:r>
      <w:r w:rsidRPr="009810C7">
        <w:rPr>
          <w:rFonts w:cstheme="minorHAnsi"/>
          <w:sz w:val="24"/>
          <w:szCs w:val="24"/>
          <w:lang w:val="en-US"/>
        </w:rPr>
        <w:t xml:space="preserve"> </w:t>
      </w:r>
      <w:sdt>
        <w:sdtPr>
          <w:rPr>
            <w:color w:val="000000"/>
            <w:lang w:val="en-US"/>
          </w:rPr>
          <w:tag w:val="MENDELEY_CITATION_v3_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"/>
          <w:id w:val="-1915699512"/>
          <w:placeholder>
            <w:docPart w:val="DefaultPlaceholder_-1854013440"/>
          </w:placeholder>
        </w:sdtPr>
        <w:sdtContent>
          <w:r w:rsidR="009810C7" w:rsidRPr="009810C7">
            <w:rPr>
              <w:rFonts w:cstheme="minorHAnsi"/>
              <w:color w:val="000000"/>
              <w:sz w:val="24"/>
              <w:szCs w:val="24"/>
              <w:lang w:val="en-US"/>
            </w:rPr>
            <w:t>[1]</w:t>
          </w:r>
        </w:sdtContent>
      </w:sdt>
    </w:p>
    <w:p w14:paraId="70DC55B7" w14:textId="22A2251C" w:rsidR="00972FD8" w:rsidRPr="00326DC9" w:rsidRDefault="003B4CB4" w:rsidP="00CE3C47">
      <w:pPr>
        <w:pStyle w:val="Prrafodelista"/>
        <w:numPr>
          <w:ilvl w:val="0"/>
          <w:numId w:val="1"/>
        </w:numPr>
        <w:spacing w:after="120" w:line="276" w:lineRule="auto"/>
        <w:jc w:val="both"/>
        <w:rPr>
          <w:rFonts w:cstheme="minorHAnsi"/>
          <w:sz w:val="24"/>
          <w:szCs w:val="24"/>
          <w:lang w:val="en-US"/>
        </w:rPr>
      </w:pPr>
      <w:r w:rsidRPr="00326DC9">
        <w:rPr>
          <w:rFonts w:cstheme="minorHAnsi"/>
          <w:sz w:val="24"/>
          <w:szCs w:val="24"/>
          <w:lang w:val="en-US"/>
        </w:rPr>
        <w:t>“</w:t>
      </w:r>
      <w:proofErr w:type="spellStart"/>
      <w:r w:rsidR="00F60812" w:rsidRPr="00326DC9">
        <w:rPr>
          <w:rFonts w:cstheme="minorHAnsi"/>
          <w:b/>
          <w:bCs/>
          <w:sz w:val="24"/>
          <w:szCs w:val="24"/>
          <w:lang w:val="en-US"/>
        </w:rPr>
        <w:t>GeneratePopulation.m</w:t>
      </w:r>
      <w:proofErr w:type="spellEnd"/>
      <w:r w:rsidRPr="00326DC9">
        <w:rPr>
          <w:rFonts w:cstheme="minorHAnsi"/>
          <w:sz w:val="24"/>
          <w:szCs w:val="24"/>
          <w:lang w:val="en-US"/>
        </w:rPr>
        <w:t>”</w:t>
      </w:r>
      <w:r w:rsidR="009810C7" w:rsidRPr="00326DC9">
        <w:rPr>
          <w:rFonts w:cstheme="minorHAnsi"/>
          <w:sz w:val="24"/>
          <w:szCs w:val="24"/>
          <w:lang w:val="en-US"/>
        </w:rPr>
        <w:t xml:space="preserve">: </w:t>
      </w:r>
      <w:r w:rsidR="00326DC9">
        <w:rPr>
          <w:rFonts w:cstheme="minorHAnsi"/>
          <w:sz w:val="24"/>
          <w:szCs w:val="24"/>
          <w:lang w:val="en-US"/>
        </w:rPr>
        <w:t>t</w:t>
      </w:r>
      <w:r w:rsidR="009810C7" w:rsidRPr="00326DC9">
        <w:rPr>
          <w:rFonts w:cstheme="minorHAnsi"/>
          <w:sz w:val="24"/>
          <w:szCs w:val="24"/>
          <w:lang w:val="en-US"/>
        </w:rPr>
        <w:t>his script g</w:t>
      </w:r>
      <w:r w:rsidR="009810C7" w:rsidRPr="00326DC9">
        <w:rPr>
          <w:rFonts w:cstheme="minorHAnsi"/>
          <w:sz w:val="24"/>
          <w:szCs w:val="24"/>
          <w:lang w:val="en-US"/>
        </w:rPr>
        <w:t xml:space="preserve">enerates a population of scaling factors </w:t>
      </w:r>
      <w:r w:rsidR="009810C7" w:rsidRPr="00326DC9">
        <w:rPr>
          <w:rFonts w:cstheme="minorHAnsi"/>
          <w:sz w:val="24"/>
          <w:szCs w:val="24"/>
          <w:lang w:val="en-US"/>
        </w:rPr>
        <w:t>of</w:t>
      </w:r>
      <w:r w:rsidR="009810C7" w:rsidRPr="00326DC9">
        <w:rPr>
          <w:rFonts w:cstheme="minorHAnsi"/>
          <w:sz w:val="24"/>
          <w:szCs w:val="24"/>
          <w:lang w:val="en-US"/>
        </w:rPr>
        <w:t xml:space="preserve"> </w:t>
      </w:r>
      <w:r w:rsidR="00CE3C47">
        <w:rPr>
          <w:rFonts w:cstheme="minorHAnsi"/>
          <w:sz w:val="24"/>
          <w:szCs w:val="24"/>
          <w:lang w:val="en-US"/>
        </w:rPr>
        <w:t>“</w:t>
      </w:r>
      <w:proofErr w:type="spellStart"/>
      <w:r w:rsidR="009810C7" w:rsidRPr="00326DC9">
        <w:rPr>
          <w:rFonts w:cstheme="minorHAnsi"/>
          <w:sz w:val="24"/>
          <w:szCs w:val="24"/>
          <w:lang w:val="en-US"/>
        </w:rPr>
        <w:t>popsize</w:t>
      </w:r>
      <w:proofErr w:type="spellEnd"/>
      <w:r w:rsidR="00CE3C47">
        <w:rPr>
          <w:rFonts w:cstheme="minorHAnsi"/>
          <w:sz w:val="24"/>
          <w:szCs w:val="24"/>
          <w:lang w:val="en-US"/>
        </w:rPr>
        <w:t>”</w:t>
      </w:r>
      <w:r w:rsidR="009810C7" w:rsidRPr="00326DC9">
        <w:rPr>
          <w:rFonts w:cstheme="minorHAnsi"/>
          <w:sz w:val="24"/>
          <w:szCs w:val="24"/>
          <w:lang w:val="en-US"/>
        </w:rPr>
        <w:t xml:space="preserve"> (</w:t>
      </w:r>
      <w:r w:rsidR="009810C7" w:rsidRPr="00326DC9">
        <w:rPr>
          <w:rFonts w:cstheme="minorHAnsi"/>
          <w:sz w:val="24"/>
          <w:szCs w:val="24"/>
          <w:lang w:val="en-US"/>
        </w:rPr>
        <w:t>size selected by the user</w:t>
      </w:r>
      <w:r w:rsidR="009810C7" w:rsidRPr="00326DC9">
        <w:rPr>
          <w:rFonts w:cstheme="minorHAnsi"/>
          <w:sz w:val="24"/>
          <w:szCs w:val="24"/>
          <w:lang w:val="en-US"/>
        </w:rPr>
        <w:t xml:space="preserve">) men and women, using </w:t>
      </w:r>
      <w:r w:rsidR="009810C7" w:rsidRPr="00326DC9">
        <w:rPr>
          <w:rFonts w:cstheme="minorHAnsi"/>
          <w:sz w:val="24"/>
          <w:szCs w:val="24"/>
          <w:lang w:val="en-US"/>
        </w:rPr>
        <w:t xml:space="preserve">channel </w:t>
      </w:r>
      <w:r w:rsidR="009810C7" w:rsidRPr="00326DC9">
        <w:rPr>
          <w:rFonts w:cstheme="minorHAnsi"/>
          <w:sz w:val="24"/>
          <w:szCs w:val="24"/>
          <w:lang w:val="en-US"/>
        </w:rPr>
        <w:t xml:space="preserve">mRNA expression </w:t>
      </w:r>
      <w:r w:rsidR="009810C7" w:rsidRPr="00326DC9">
        <w:rPr>
          <w:rFonts w:cstheme="minorHAnsi"/>
          <w:sz w:val="24"/>
          <w:szCs w:val="24"/>
          <w:lang w:val="en-US"/>
        </w:rPr>
        <w:t>levels.</w:t>
      </w:r>
    </w:p>
    <w:p w14:paraId="45DAE71C" w14:textId="460EDDCE" w:rsidR="009810C7" w:rsidRPr="00326DC9" w:rsidRDefault="00972FD8" w:rsidP="00CE3C47">
      <w:pPr>
        <w:pStyle w:val="Prrafodelista"/>
        <w:numPr>
          <w:ilvl w:val="0"/>
          <w:numId w:val="1"/>
        </w:numPr>
        <w:spacing w:after="120" w:line="276" w:lineRule="auto"/>
        <w:jc w:val="both"/>
        <w:rPr>
          <w:rFonts w:cstheme="minorHAnsi"/>
          <w:sz w:val="24"/>
          <w:szCs w:val="24"/>
          <w:lang w:val="en-US"/>
        </w:rPr>
      </w:pPr>
      <w:r w:rsidRPr="00326DC9">
        <w:rPr>
          <w:rFonts w:cstheme="minorHAnsi"/>
          <w:sz w:val="24"/>
          <w:szCs w:val="24"/>
          <w:lang w:val="en-US"/>
        </w:rPr>
        <w:t>“</w:t>
      </w:r>
      <w:proofErr w:type="spellStart"/>
      <w:r w:rsidR="00F60812" w:rsidRPr="00326DC9">
        <w:rPr>
          <w:rFonts w:cstheme="minorHAnsi"/>
          <w:b/>
          <w:bCs/>
          <w:sz w:val="24"/>
          <w:szCs w:val="24"/>
          <w:lang w:val="en-US"/>
        </w:rPr>
        <w:t>Analize_population.m</w:t>
      </w:r>
      <w:proofErr w:type="spellEnd"/>
      <w:r w:rsidRPr="00326DC9">
        <w:rPr>
          <w:rFonts w:cstheme="minorHAnsi"/>
          <w:sz w:val="24"/>
          <w:szCs w:val="24"/>
          <w:lang w:val="en-US"/>
        </w:rPr>
        <w:t>”</w:t>
      </w:r>
      <w:r w:rsidR="009810C7" w:rsidRPr="00326DC9">
        <w:rPr>
          <w:rFonts w:cstheme="minorHAnsi"/>
          <w:sz w:val="24"/>
          <w:szCs w:val="24"/>
          <w:lang w:val="en-US"/>
        </w:rPr>
        <w:t xml:space="preserve">: it </w:t>
      </w:r>
      <w:proofErr w:type="spellStart"/>
      <w:r w:rsidR="009810C7" w:rsidRPr="00326DC9">
        <w:rPr>
          <w:rFonts w:cstheme="minorHAnsi"/>
          <w:sz w:val="24"/>
          <w:szCs w:val="24"/>
          <w:lang w:val="en-US"/>
        </w:rPr>
        <w:t>a</w:t>
      </w:r>
      <w:r w:rsidR="009810C7" w:rsidRPr="00326DC9">
        <w:rPr>
          <w:rFonts w:cstheme="minorHAnsi"/>
          <w:sz w:val="24"/>
          <w:szCs w:val="24"/>
          <w:lang w:val="en-US"/>
        </w:rPr>
        <w:t>nalizes</w:t>
      </w:r>
      <w:proofErr w:type="spellEnd"/>
      <w:r w:rsidR="009810C7" w:rsidRPr="00326DC9">
        <w:rPr>
          <w:rFonts w:cstheme="minorHAnsi"/>
          <w:sz w:val="24"/>
          <w:szCs w:val="24"/>
          <w:lang w:val="en-US"/>
        </w:rPr>
        <w:t xml:space="preserve"> </w:t>
      </w:r>
      <w:r w:rsidR="009810C7" w:rsidRPr="00326DC9">
        <w:rPr>
          <w:rFonts w:cstheme="minorHAnsi"/>
          <w:sz w:val="24"/>
          <w:szCs w:val="24"/>
          <w:lang w:val="en-US"/>
        </w:rPr>
        <w:t xml:space="preserve">the </w:t>
      </w:r>
      <w:r w:rsidR="009810C7" w:rsidRPr="00326DC9">
        <w:rPr>
          <w:rFonts w:cstheme="minorHAnsi"/>
          <w:sz w:val="24"/>
          <w:szCs w:val="24"/>
          <w:lang w:val="en-US"/>
        </w:rPr>
        <w:t xml:space="preserve">population </w:t>
      </w:r>
      <w:r w:rsidR="009810C7" w:rsidRPr="00326DC9">
        <w:rPr>
          <w:rFonts w:cstheme="minorHAnsi"/>
          <w:sz w:val="24"/>
          <w:szCs w:val="24"/>
          <w:lang w:val="en-US"/>
        </w:rPr>
        <w:t xml:space="preserve">created </w:t>
      </w:r>
      <w:r w:rsidR="009810C7" w:rsidRPr="00326DC9">
        <w:rPr>
          <w:rFonts w:cstheme="minorHAnsi"/>
          <w:sz w:val="24"/>
          <w:szCs w:val="24"/>
          <w:lang w:val="en-US"/>
        </w:rPr>
        <w:t xml:space="preserve">to check </w:t>
      </w:r>
      <w:r w:rsidR="00326DC9" w:rsidRPr="00326DC9">
        <w:rPr>
          <w:rFonts w:cstheme="minorHAnsi"/>
          <w:sz w:val="24"/>
          <w:szCs w:val="24"/>
          <w:lang w:val="en-US"/>
        </w:rPr>
        <w:t>the normal distribution of the scaling factors.</w:t>
      </w:r>
    </w:p>
    <w:p w14:paraId="1467B4AC" w14:textId="03565DD1" w:rsidR="003B4CB4" w:rsidRDefault="003B4CB4" w:rsidP="00CE3C47">
      <w:pPr>
        <w:pStyle w:val="Prrafodelista"/>
        <w:numPr>
          <w:ilvl w:val="0"/>
          <w:numId w:val="1"/>
        </w:numPr>
        <w:spacing w:after="120" w:line="276" w:lineRule="auto"/>
        <w:contextualSpacing w:val="0"/>
        <w:jc w:val="both"/>
        <w:rPr>
          <w:rFonts w:cstheme="minorHAnsi"/>
          <w:sz w:val="24"/>
          <w:szCs w:val="24"/>
          <w:lang w:val="en-US"/>
        </w:rPr>
      </w:pPr>
      <w:r w:rsidRPr="004907F2">
        <w:rPr>
          <w:rFonts w:cstheme="minorHAnsi"/>
          <w:sz w:val="24"/>
          <w:szCs w:val="24"/>
          <w:lang w:val="en-US"/>
        </w:rPr>
        <w:t>“</w:t>
      </w:r>
      <w:proofErr w:type="spellStart"/>
      <w:r w:rsidR="00F60812">
        <w:rPr>
          <w:rFonts w:cstheme="minorHAnsi"/>
          <w:b/>
          <w:bCs/>
          <w:sz w:val="24"/>
          <w:szCs w:val="24"/>
          <w:lang w:val="en-US"/>
        </w:rPr>
        <w:t>Simulate_population.m</w:t>
      </w:r>
      <w:proofErr w:type="spellEnd"/>
      <w:r w:rsidRPr="004907F2">
        <w:rPr>
          <w:rFonts w:cstheme="minorHAnsi"/>
          <w:sz w:val="24"/>
          <w:szCs w:val="24"/>
          <w:lang w:val="en-US"/>
        </w:rPr>
        <w:t>”</w:t>
      </w:r>
      <w:r w:rsidR="00326DC9">
        <w:rPr>
          <w:rFonts w:cstheme="minorHAnsi"/>
          <w:sz w:val="24"/>
          <w:szCs w:val="24"/>
          <w:lang w:val="en-US"/>
        </w:rPr>
        <w:t xml:space="preserve">: this file runs the simulations of the population of models </w:t>
      </w:r>
      <w:r w:rsidR="00326DC9" w:rsidRPr="00326DC9">
        <w:rPr>
          <w:rFonts w:cstheme="minorHAnsi"/>
          <w:sz w:val="24"/>
          <w:szCs w:val="24"/>
          <w:lang w:val="en-US"/>
        </w:rPr>
        <w:t xml:space="preserve">using the </w:t>
      </w:r>
      <w:r w:rsidR="00CE3C47">
        <w:rPr>
          <w:rFonts w:cstheme="minorHAnsi"/>
          <w:sz w:val="24"/>
          <w:szCs w:val="24"/>
          <w:lang w:val="en-US"/>
        </w:rPr>
        <w:t>endocardial</w:t>
      </w:r>
      <w:r w:rsidR="00326DC9" w:rsidRPr="00326DC9">
        <w:rPr>
          <w:rFonts w:cstheme="minorHAnsi"/>
          <w:sz w:val="24"/>
          <w:szCs w:val="24"/>
          <w:lang w:val="en-US"/>
        </w:rPr>
        <w:t xml:space="preserve"> model compiled in </w:t>
      </w:r>
      <w:proofErr w:type="spellStart"/>
      <w:r w:rsidR="00326DC9" w:rsidRPr="00326DC9">
        <w:rPr>
          <w:rFonts w:cstheme="minorHAnsi"/>
          <w:b/>
          <w:bCs/>
          <w:i/>
          <w:iCs/>
          <w:sz w:val="24"/>
          <w:szCs w:val="24"/>
          <w:lang w:val="en-US"/>
        </w:rPr>
        <w:t>ORd</w:t>
      </w:r>
      <w:r w:rsidR="00326DC9" w:rsidRPr="00326DC9">
        <w:rPr>
          <w:rFonts w:cstheme="minorHAnsi"/>
          <w:b/>
          <w:bCs/>
          <w:i/>
          <w:iCs/>
          <w:sz w:val="24"/>
          <w:szCs w:val="24"/>
          <w:lang w:val="en-US"/>
        </w:rPr>
        <w:t>mD_sex</w:t>
      </w:r>
      <w:proofErr w:type="spellEnd"/>
      <w:r w:rsidR="00326DC9" w:rsidRPr="00326DC9">
        <w:rPr>
          <w:rFonts w:cstheme="minorHAnsi"/>
          <w:sz w:val="24"/>
          <w:szCs w:val="24"/>
          <w:lang w:val="en-US"/>
        </w:rPr>
        <w:t>.</w:t>
      </w:r>
    </w:p>
    <w:p w14:paraId="40DAE456" w14:textId="02BCEB7F" w:rsidR="00326DC9" w:rsidRDefault="00326DC9" w:rsidP="00CE3C47">
      <w:pPr>
        <w:pStyle w:val="Prrafodelista"/>
        <w:numPr>
          <w:ilvl w:val="0"/>
          <w:numId w:val="1"/>
        </w:numPr>
        <w:spacing w:after="120" w:line="276" w:lineRule="auto"/>
        <w:contextualSpacing w:val="0"/>
        <w:jc w:val="both"/>
        <w:rPr>
          <w:rFonts w:cstheme="minorHAnsi"/>
          <w:sz w:val="24"/>
          <w:szCs w:val="24"/>
          <w:lang w:val="en-US"/>
        </w:rPr>
      </w:pPr>
      <w:r w:rsidRPr="004907F2">
        <w:rPr>
          <w:rFonts w:cstheme="minorHAnsi"/>
          <w:sz w:val="24"/>
          <w:szCs w:val="24"/>
          <w:lang w:val="en-US"/>
        </w:rPr>
        <w:t>“</w:t>
      </w:r>
      <w:r w:rsidRPr="00326DC9">
        <w:rPr>
          <w:rFonts w:cstheme="minorHAnsi"/>
          <w:b/>
          <w:bCs/>
          <w:sz w:val="24"/>
          <w:szCs w:val="24"/>
          <w:lang w:val="en-US"/>
        </w:rPr>
        <w:t>Double2tex</w:t>
      </w:r>
      <w:r>
        <w:rPr>
          <w:rFonts w:cstheme="minorHAnsi"/>
          <w:b/>
          <w:bCs/>
          <w:sz w:val="24"/>
          <w:szCs w:val="24"/>
          <w:lang w:val="en-US"/>
        </w:rPr>
        <w:t>.m</w:t>
      </w:r>
      <w:r w:rsidRPr="004907F2">
        <w:rPr>
          <w:rFonts w:cstheme="minorHAnsi"/>
          <w:sz w:val="24"/>
          <w:szCs w:val="24"/>
          <w:lang w:val="en-US"/>
        </w:rPr>
        <w:t>”</w:t>
      </w:r>
      <w:r>
        <w:rPr>
          <w:rFonts w:cstheme="minorHAnsi"/>
          <w:sz w:val="24"/>
          <w:szCs w:val="24"/>
          <w:lang w:val="en-US"/>
        </w:rPr>
        <w:t>: t</w:t>
      </w:r>
      <w:r w:rsidRPr="00326DC9">
        <w:rPr>
          <w:rFonts w:cstheme="minorHAnsi"/>
          <w:sz w:val="24"/>
          <w:szCs w:val="24"/>
          <w:lang w:val="en-US"/>
        </w:rPr>
        <w:t>his is a</w:t>
      </w:r>
      <w:r>
        <w:rPr>
          <w:rFonts w:cstheme="minorHAnsi"/>
          <w:sz w:val="24"/>
          <w:szCs w:val="24"/>
          <w:lang w:val="en-US"/>
        </w:rPr>
        <w:t>n</w:t>
      </w:r>
      <w:r w:rsidRPr="00326DC9">
        <w:rPr>
          <w:rFonts w:cstheme="minorHAnsi"/>
          <w:sz w:val="24"/>
          <w:szCs w:val="24"/>
          <w:lang w:val="en-US"/>
        </w:rPr>
        <w:t xml:space="preserve"> </w:t>
      </w:r>
      <w:r>
        <w:rPr>
          <w:rFonts w:cstheme="minorHAnsi"/>
          <w:sz w:val="24"/>
          <w:szCs w:val="24"/>
          <w:lang w:val="en-US"/>
        </w:rPr>
        <w:t>auxiliary</w:t>
      </w:r>
      <w:r w:rsidRPr="00326DC9">
        <w:rPr>
          <w:rFonts w:cstheme="minorHAnsi"/>
          <w:sz w:val="24"/>
          <w:szCs w:val="24"/>
          <w:lang w:val="en-US"/>
        </w:rPr>
        <w:t xml:space="preserve"> script that takes a double array and returns a char array with those values.</w:t>
      </w:r>
    </w:p>
    <w:p w14:paraId="6C50D08F" w14:textId="33681AB2" w:rsidR="00F60812" w:rsidRDefault="00F60812" w:rsidP="00CE3C47">
      <w:pPr>
        <w:pStyle w:val="Prrafodelista"/>
        <w:numPr>
          <w:ilvl w:val="0"/>
          <w:numId w:val="1"/>
        </w:numPr>
        <w:spacing w:after="120" w:line="276" w:lineRule="auto"/>
        <w:contextualSpacing w:val="0"/>
        <w:jc w:val="both"/>
        <w:rPr>
          <w:rFonts w:cstheme="minorHAnsi"/>
          <w:sz w:val="24"/>
          <w:szCs w:val="24"/>
          <w:lang w:val="en-US"/>
        </w:rPr>
      </w:pPr>
      <w:r w:rsidRPr="004907F2">
        <w:rPr>
          <w:rFonts w:cstheme="minorHAnsi"/>
          <w:sz w:val="24"/>
          <w:szCs w:val="24"/>
          <w:lang w:val="en-US"/>
        </w:rPr>
        <w:t>“</w:t>
      </w:r>
      <w:proofErr w:type="spellStart"/>
      <w:r>
        <w:rPr>
          <w:rFonts w:cstheme="minorHAnsi"/>
          <w:b/>
          <w:bCs/>
          <w:sz w:val="24"/>
          <w:szCs w:val="24"/>
          <w:lang w:val="en-US"/>
        </w:rPr>
        <w:t>Analize_simulations.m</w:t>
      </w:r>
      <w:proofErr w:type="spellEnd"/>
      <w:r w:rsidRPr="004907F2">
        <w:rPr>
          <w:rFonts w:cstheme="minorHAnsi"/>
          <w:sz w:val="24"/>
          <w:szCs w:val="24"/>
          <w:lang w:val="en-US"/>
        </w:rPr>
        <w:t>”</w:t>
      </w:r>
      <w:r w:rsidR="00326DC9">
        <w:rPr>
          <w:rFonts w:cstheme="minorHAnsi"/>
          <w:sz w:val="24"/>
          <w:szCs w:val="24"/>
          <w:lang w:val="en-US"/>
        </w:rPr>
        <w:t>: it a</w:t>
      </w:r>
      <w:r w:rsidR="00326DC9" w:rsidRPr="00326DC9">
        <w:rPr>
          <w:rFonts w:cstheme="minorHAnsi"/>
          <w:sz w:val="24"/>
          <w:szCs w:val="24"/>
          <w:lang w:val="en-US"/>
        </w:rPr>
        <w:t xml:space="preserve">nalyzes the simulations of the populations and calculates a </w:t>
      </w:r>
      <w:r w:rsidR="00326DC9">
        <w:rPr>
          <w:rFonts w:cstheme="minorHAnsi"/>
          <w:sz w:val="24"/>
          <w:szCs w:val="24"/>
          <w:lang w:val="en-US"/>
        </w:rPr>
        <w:t>set</w:t>
      </w:r>
      <w:r w:rsidR="00326DC9" w:rsidRPr="00326DC9">
        <w:rPr>
          <w:rFonts w:cstheme="minorHAnsi"/>
          <w:sz w:val="24"/>
          <w:szCs w:val="24"/>
          <w:lang w:val="en-US"/>
        </w:rPr>
        <w:t xml:space="preserve"> of biomarkers. </w:t>
      </w:r>
      <w:r w:rsidR="00326DC9">
        <w:rPr>
          <w:rFonts w:cstheme="minorHAnsi"/>
          <w:sz w:val="24"/>
          <w:szCs w:val="24"/>
          <w:lang w:val="en-US"/>
        </w:rPr>
        <w:t>For the analysis of</w:t>
      </w:r>
      <w:r w:rsidR="00326DC9" w:rsidRPr="00326DC9">
        <w:rPr>
          <w:rFonts w:cstheme="minorHAnsi"/>
          <w:sz w:val="24"/>
          <w:szCs w:val="24"/>
          <w:lang w:val="en-US"/>
        </w:rPr>
        <w:t xml:space="preserve"> endocardial simulations, '</w:t>
      </w:r>
      <w:proofErr w:type="spellStart"/>
      <w:r w:rsidR="00326DC9" w:rsidRPr="00326DC9">
        <w:rPr>
          <w:rFonts w:cstheme="minorHAnsi"/>
          <w:sz w:val="24"/>
          <w:szCs w:val="24"/>
          <w:lang w:val="en-US"/>
        </w:rPr>
        <w:t>analyze_Tosim_pop</w:t>
      </w:r>
      <w:proofErr w:type="spellEnd"/>
      <w:r w:rsidR="00326DC9" w:rsidRPr="00326DC9">
        <w:rPr>
          <w:rFonts w:cstheme="minorHAnsi"/>
          <w:sz w:val="24"/>
          <w:szCs w:val="24"/>
          <w:lang w:val="en-US"/>
        </w:rPr>
        <w:t>' should be set to one.</w:t>
      </w:r>
      <w:r w:rsidR="00326DC9" w:rsidRPr="00326DC9">
        <w:rPr>
          <w:rFonts w:cstheme="minorHAnsi"/>
          <w:sz w:val="24"/>
          <w:szCs w:val="24"/>
          <w:lang w:val="en-US"/>
        </w:rPr>
        <w:t xml:space="preserve"> </w:t>
      </w:r>
      <w:r w:rsidR="00326DC9">
        <w:rPr>
          <w:rFonts w:cstheme="minorHAnsi"/>
          <w:sz w:val="24"/>
          <w:szCs w:val="24"/>
          <w:lang w:val="en-US"/>
        </w:rPr>
        <w:t>For the analysis of</w:t>
      </w:r>
      <w:r w:rsidR="00326DC9" w:rsidRPr="00326DC9">
        <w:rPr>
          <w:rFonts w:cstheme="minorHAnsi"/>
          <w:sz w:val="24"/>
          <w:szCs w:val="24"/>
          <w:lang w:val="en-US"/>
        </w:rPr>
        <w:t xml:space="preserve"> mid and epicardial simulations, '</w:t>
      </w:r>
      <w:proofErr w:type="spellStart"/>
      <w:r w:rsidR="00326DC9" w:rsidRPr="00326DC9">
        <w:rPr>
          <w:rFonts w:cstheme="minorHAnsi"/>
          <w:sz w:val="24"/>
          <w:szCs w:val="24"/>
          <w:lang w:val="en-US"/>
        </w:rPr>
        <w:t>analyze_Tosim_pop</w:t>
      </w:r>
      <w:proofErr w:type="spellEnd"/>
      <w:r w:rsidR="00326DC9" w:rsidRPr="00326DC9">
        <w:rPr>
          <w:rFonts w:cstheme="minorHAnsi"/>
          <w:sz w:val="24"/>
          <w:szCs w:val="24"/>
          <w:lang w:val="en-US"/>
        </w:rPr>
        <w:t>' should be set to 2</w:t>
      </w:r>
      <w:r w:rsidR="00326DC9">
        <w:rPr>
          <w:rFonts w:cstheme="minorHAnsi"/>
          <w:sz w:val="24"/>
          <w:szCs w:val="24"/>
          <w:lang w:val="en-US"/>
        </w:rPr>
        <w:t>.</w:t>
      </w:r>
    </w:p>
    <w:p w14:paraId="5201A11B" w14:textId="07E8DCEF" w:rsidR="00F60812" w:rsidRDefault="00F60812" w:rsidP="00CE3C47">
      <w:pPr>
        <w:pStyle w:val="Prrafodelista"/>
        <w:numPr>
          <w:ilvl w:val="0"/>
          <w:numId w:val="1"/>
        </w:numPr>
        <w:spacing w:after="120" w:line="276" w:lineRule="auto"/>
        <w:contextualSpacing w:val="0"/>
        <w:jc w:val="both"/>
        <w:rPr>
          <w:rFonts w:cstheme="minorHAnsi"/>
          <w:sz w:val="24"/>
          <w:szCs w:val="24"/>
          <w:lang w:val="en-US"/>
        </w:rPr>
      </w:pPr>
      <w:r w:rsidRPr="004907F2">
        <w:rPr>
          <w:rFonts w:cstheme="minorHAnsi"/>
          <w:sz w:val="24"/>
          <w:szCs w:val="24"/>
          <w:lang w:val="en-US"/>
        </w:rPr>
        <w:t>“</w:t>
      </w:r>
      <w:proofErr w:type="spellStart"/>
      <w:r>
        <w:rPr>
          <w:rFonts w:cstheme="minorHAnsi"/>
          <w:b/>
          <w:bCs/>
          <w:sz w:val="24"/>
          <w:szCs w:val="24"/>
          <w:lang w:val="en-US"/>
        </w:rPr>
        <w:t>Select_good_simulations_and_plots.m</w:t>
      </w:r>
      <w:proofErr w:type="spellEnd"/>
      <w:r w:rsidRPr="004907F2">
        <w:rPr>
          <w:rFonts w:cstheme="minorHAnsi"/>
          <w:sz w:val="24"/>
          <w:szCs w:val="24"/>
          <w:lang w:val="en-US"/>
        </w:rPr>
        <w:t>”</w:t>
      </w:r>
      <w:r w:rsidR="00FA26B5">
        <w:rPr>
          <w:rFonts w:cstheme="minorHAnsi"/>
          <w:sz w:val="24"/>
          <w:szCs w:val="24"/>
          <w:lang w:val="en-US"/>
        </w:rPr>
        <w:t>: t</w:t>
      </w:r>
      <w:r w:rsidR="00FA26B5" w:rsidRPr="00FA26B5">
        <w:rPr>
          <w:rFonts w:cstheme="minorHAnsi"/>
          <w:sz w:val="24"/>
          <w:szCs w:val="24"/>
          <w:lang w:val="en-US"/>
        </w:rPr>
        <w:t>his script performs</w:t>
      </w:r>
      <w:r w:rsidR="00FA26B5">
        <w:rPr>
          <w:rFonts w:cstheme="minorHAnsi"/>
          <w:sz w:val="24"/>
          <w:szCs w:val="24"/>
          <w:lang w:val="en-US"/>
        </w:rPr>
        <w:t xml:space="preserve"> the</w:t>
      </w:r>
      <w:r w:rsidR="00FA26B5" w:rsidRPr="00FA26B5">
        <w:rPr>
          <w:rFonts w:cstheme="minorHAnsi"/>
          <w:sz w:val="24"/>
          <w:szCs w:val="24"/>
          <w:lang w:val="en-US"/>
        </w:rPr>
        <w:t xml:space="preserve"> calibration of the populations, accepting models that show biomarkers within the experimental range and rejecting those with any biomarker outside the experimental range.</w:t>
      </w:r>
      <w:r w:rsidR="00FA26B5">
        <w:rPr>
          <w:rFonts w:cstheme="minorHAnsi"/>
          <w:sz w:val="24"/>
          <w:szCs w:val="24"/>
          <w:lang w:val="en-US"/>
        </w:rPr>
        <w:t xml:space="preserve"> </w:t>
      </w:r>
      <w:r w:rsidR="00A417EF">
        <w:rPr>
          <w:rFonts w:cstheme="minorHAnsi"/>
          <w:sz w:val="24"/>
          <w:szCs w:val="24"/>
          <w:lang w:val="en-US"/>
        </w:rPr>
        <w:t>In addition</w:t>
      </w:r>
      <w:r w:rsidR="00A417EF" w:rsidRPr="00FA26B5">
        <w:rPr>
          <w:rFonts w:cstheme="minorHAnsi"/>
          <w:sz w:val="24"/>
          <w:szCs w:val="24"/>
          <w:lang w:val="en-US"/>
        </w:rPr>
        <w:t>, it plots the action potentials of the population</w:t>
      </w:r>
      <w:r w:rsidR="00A417EF">
        <w:rPr>
          <w:rFonts w:cstheme="minorHAnsi"/>
          <w:sz w:val="24"/>
          <w:szCs w:val="24"/>
          <w:lang w:val="en-US"/>
        </w:rPr>
        <w:t>s</w:t>
      </w:r>
      <w:r w:rsidR="00A417EF" w:rsidRPr="00FA26B5">
        <w:rPr>
          <w:rFonts w:cstheme="minorHAnsi"/>
          <w:sz w:val="24"/>
          <w:szCs w:val="24"/>
          <w:lang w:val="en-US"/>
        </w:rPr>
        <w:t>, showing the accepted and rejected models.</w:t>
      </w:r>
    </w:p>
    <w:p w14:paraId="28D383DD" w14:textId="26002173" w:rsidR="00F60812" w:rsidRPr="004907F2" w:rsidRDefault="00F60812" w:rsidP="00CE3C47">
      <w:pPr>
        <w:pStyle w:val="Prrafodelista"/>
        <w:numPr>
          <w:ilvl w:val="0"/>
          <w:numId w:val="1"/>
        </w:numPr>
        <w:spacing w:after="120" w:line="276" w:lineRule="auto"/>
        <w:contextualSpacing w:val="0"/>
        <w:jc w:val="both"/>
        <w:rPr>
          <w:rFonts w:cstheme="minorHAnsi"/>
          <w:sz w:val="24"/>
          <w:szCs w:val="24"/>
          <w:lang w:val="en-US"/>
        </w:rPr>
      </w:pPr>
      <w:r w:rsidRPr="004907F2">
        <w:rPr>
          <w:rFonts w:cstheme="minorHAnsi"/>
          <w:sz w:val="24"/>
          <w:szCs w:val="24"/>
          <w:lang w:val="en-US"/>
        </w:rPr>
        <w:t>“</w:t>
      </w:r>
      <w:proofErr w:type="spellStart"/>
      <w:r>
        <w:rPr>
          <w:rFonts w:cstheme="minorHAnsi"/>
          <w:b/>
          <w:bCs/>
          <w:sz w:val="24"/>
          <w:szCs w:val="24"/>
          <w:lang w:val="en-US"/>
        </w:rPr>
        <w:t>Simulate_toSim_population.m</w:t>
      </w:r>
      <w:proofErr w:type="spellEnd"/>
      <w:r w:rsidRPr="004907F2">
        <w:rPr>
          <w:rFonts w:cstheme="minorHAnsi"/>
          <w:sz w:val="24"/>
          <w:szCs w:val="24"/>
          <w:lang w:val="en-US"/>
        </w:rPr>
        <w:t>”</w:t>
      </w:r>
      <w:r w:rsidR="00CE3C47">
        <w:rPr>
          <w:rFonts w:cstheme="minorHAnsi"/>
          <w:sz w:val="24"/>
          <w:szCs w:val="24"/>
          <w:lang w:val="en-US"/>
        </w:rPr>
        <w:t xml:space="preserve">: </w:t>
      </w:r>
      <w:r w:rsidR="00CE3C47">
        <w:rPr>
          <w:rFonts w:cstheme="minorHAnsi"/>
          <w:sz w:val="24"/>
          <w:szCs w:val="24"/>
          <w:lang w:val="en-US"/>
        </w:rPr>
        <w:t xml:space="preserve">this file runs the simulations of the </w:t>
      </w:r>
      <w:r w:rsidR="00CE3C47">
        <w:rPr>
          <w:rFonts w:cstheme="minorHAnsi"/>
          <w:sz w:val="24"/>
          <w:szCs w:val="24"/>
          <w:lang w:val="en-US"/>
        </w:rPr>
        <w:t>mid and epicardial cells</w:t>
      </w:r>
      <w:r w:rsidR="00CE3C47">
        <w:rPr>
          <w:rFonts w:cstheme="minorHAnsi"/>
          <w:sz w:val="24"/>
          <w:szCs w:val="24"/>
          <w:lang w:val="en-US"/>
        </w:rPr>
        <w:t xml:space="preserve"> </w:t>
      </w:r>
      <w:r w:rsidR="00CE3C47">
        <w:rPr>
          <w:rFonts w:cstheme="minorHAnsi"/>
          <w:sz w:val="24"/>
          <w:szCs w:val="24"/>
          <w:lang w:val="en-US"/>
        </w:rPr>
        <w:t>with the parameters of the calibrated populations</w:t>
      </w:r>
      <w:r w:rsidR="00CE3C47" w:rsidRPr="00326DC9">
        <w:rPr>
          <w:rFonts w:cstheme="minorHAnsi"/>
          <w:sz w:val="24"/>
          <w:szCs w:val="24"/>
          <w:lang w:val="en-US"/>
        </w:rPr>
        <w:t>.</w:t>
      </w:r>
    </w:p>
    <w:p w14:paraId="5168057C" w14:textId="7452CE79" w:rsidR="00576361" w:rsidRDefault="00576361" w:rsidP="00CE3C47">
      <w:pPr>
        <w:spacing w:after="120" w:line="276" w:lineRule="auto"/>
        <w:jc w:val="both"/>
        <w:rPr>
          <w:rFonts w:cstheme="minorHAnsi"/>
          <w:sz w:val="24"/>
          <w:szCs w:val="24"/>
          <w:lang w:val="en-US"/>
        </w:rPr>
      </w:pPr>
      <w:r w:rsidRPr="004907F2">
        <w:rPr>
          <w:rFonts w:cstheme="minorHAnsi"/>
          <w:sz w:val="24"/>
          <w:szCs w:val="24"/>
          <w:lang w:val="en-US"/>
        </w:rPr>
        <w:t xml:space="preserve">Note that files are distributed in the hope that they will be useful, but WITHOUT ANY </w:t>
      </w:r>
      <w:proofErr w:type="gramStart"/>
      <w:r w:rsidRPr="004907F2">
        <w:rPr>
          <w:rFonts w:cstheme="minorHAnsi"/>
          <w:sz w:val="24"/>
          <w:szCs w:val="24"/>
          <w:lang w:val="en-US"/>
        </w:rPr>
        <w:t>WARRANTY;</w:t>
      </w:r>
      <w:proofErr w:type="gramEnd"/>
      <w:r w:rsidRPr="004907F2">
        <w:rPr>
          <w:rFonts w:cstheme="minorHAnsi"/>
          <w:sz w:val="24"/>
          <w:szCs w:val="24"/>
          <w:lang w:val="en-US"/>
        </w:rPr>
        <w:t xml:space="preserve"> without even the implied warranty of MERCHANTABILITY or FITNESS FOR A PARTICULAR PURPOSE.</w:t>
      </w:r>
    </w:p>
    <w:p w14:paraId="04B2C7A1" w14:textId="77777777" w:rsidR="009810C7" w:rsidRDefault="009810C7" w:rsidP="00CE3C47">
      <w:pPr>
        <w:spacing w:after="120" w:line="276" w:lineRule="auto"/>
        <w:jc w:val="both"/>
        <w:rPr>
          <w:rFonts w:cstheme="minorHAnsi"/>
          <w:sz w:val="24"/>
          <w:szCs w:val="24"/>
          <w:lang w:val="en-US"/>
        </w:rPr>
      </w:pPr>
    </w:p>
    <w:p w14:paraId="2265C4A6" w14:textId="67BC1537" w:rsidR="00CE3C47" w:rsidRPr="00CE3C47" w:rsidRDefault="00A417EF" w:rsidP="00CE3C47">
      <w:pPr>
        <w:pStyle w:val="Ttulo1"/>
        <w:jc w:val="both"/>
        <w:rPr>
          <w:lang w:val="en-US"/>
        </w:rPr>
      </w:pPr>
      <w:r w:rsidRPr="00CE3C47">
        <w:rPr>
          <w:lang w:val="en-US"/>
        </w:rPr>
        <w:t>Brief outline of how to build the model population.</w:t>
      </w:r>
    </w:p>
    <w:p w14:paraId="29A0A5CA" w14:textId="0E11B173" w:rsidR="00CE3C47" w:rsidRPr="00CE3C47" w:rsidRDefault="00CE3C47" w:rsidP="00CE3C47">
      <w:pPr>
        <w:pStyle w:val="Prrafodelista"/>
        <w:numPr>
          <w:ilvl w:val="0"/>
          <w:numId w:val="3"/>
        </w:numPr>
        <w:jc w:val="both"/>
        <w:rPr>
          <w:rFonts w:cstheme="minorHAnsi"/>
          <w:sz w:val="24"/>
          <w:szCs w:val="24"/>
          <w:lang w:val="en-US"/>
        </w:rPr>
      </w:pPr>
      <w:r w:rsidRPr="00CE3C47">
        <w:rPr>
          <w:rFonts w:cstheme="minorHAnsi"/>
          <w:sz w:val="24"/>
          <w:szCs w:val="24"/>
          <w:lang w:val="en-US"/>
        </w:rPr>
        <w:t>Run "</w:t>
      </w:r>
      <w:proofErr w:type="spellStart"/>
      <w:r w:rsidRPr="00CE3C47">
        <w:rPr>
          <w:rFonts w:cstheme="minorHAnsi"/>
          <w:sz w:val="24"/>
          <w:szCs w:val="24"/>
          <w:lang w:val="en-US"/>
        </w:rPr>
        <w:t>GeneratePopulation.m</w:t>
      </w:r>
      <w:proofErr w:type="spellEnd"/>
      <w:r w:rsidRPr="00CE3C47">
        <w:rPr>
          <w:rFonts w:cstheme="minorHAnsi"/>
          <w:sz w:val="24"/>
          <w:szCs w:val="24"/>
          <w:lang w:val="en-US"/>
        </w:rPr>
        <w:t>"</w:t>
      </w:r>
      <w:r>
        <w:rPr>
          <w:rFonts w:cstheme="minorHAnsi"/>
          <w:sz w:val="24"/>
          <w:szCs w:val="24"/>
          <w:lang w:val="en-US"/>
        </w:rPr>
        <w:t xml:space="preserve"> This g</w:t>
      </w:r>
      <w:r w:rsidRPr="00CE3C47">
        <w:rPr>
          <w:rFonts w:cstheme="minorHAnsi"/>
          <w:sz w:val="24"/>
          <w:szCs w:val="24"/>
          <w:lang w:val="en-US"/>
        </w:rPr>
        <w:t>enerates the file for the initial population</w:t>
      </w:r>
      <w:r>
        <w:rPr>
          <w:rFonts w:cstheme="minorHAnsi"/>
          <w:sz w:val="24"/>
          <w:szCs w:val="24"/>
          <w:lang w:val="en-US"/>
        </w:rPr>
        <w:t xml:space="preserve"> scaling factors</w:t>
      </w:r>
      <w:r w:rsidRPr="00CE3C47">
        <w:rPr>
          <w:rFonts w:cstheme="minorHAnsi"/>
          <w:sz w:val="24"/>
          <w:szCs w:val="24"/>
          <w:lang w:val="en-US"/>
        </w:rPr>
        <w:t xml:space="preserve">. </w:t>
      </w:r>
      <w:r w:rsidR="00A417EF" w:rsidRPr="00CE3C47">
        <w:rPr>
          <w:rFonts w:cstheme="minorHAnsi"/>
          <w:sz w:val="24"/>
          <w:szCs w:val="24"/>
          <w:lang w:val="en-US"/>
        </w:rPr>
        <w:t>The number of samples per gender can be determined</w:t>
      </w:r>
      <w:r w:rsidR="00A417EF">
        <w:rPr>
          <w:rFonts w:cstheme="minorHAnsi"/>
          <w:sz w:val="24"/>
          <w:szCs w:val="24"/>
          <w:lang w:val="en-US"/>
        </w:rPr>
        <w:t xml:space="preserve"> with the parameter “</w:t>
      </w:r>
      <w:proofErr w:type="spellStart"/>
      <w:r w:rsidR="00A417EF">
        <w:rPr>
          <w:rFonts w:cstheme="minorHAnsi"/>
          <w:sz w:val="24"/>
          <w:szCs w:val="24"/>
          <w:lang w:val="en-US"/>
        </w:rPr>
        <w:t>popsize</w:t>
      </w:r>
      <w:proofErr w:type="spellEnd"/>
      <w:r w:rsidR="00A417EF">
        <w:rPr>
          <w:rFonts w:cstheme="minorHAnsi"/>
          <w:sz w:val="24"/>
          <w:szCs w:val="24"/>
          <w:lang w:val="en-US"/>
        </w:rPr>
        <w:t>”.</w:t>
      </w:r>
      <w:r w:rsidRPr="00CE3C47">
        <w:rPr>
          <w:rFonts w:cstheme="minorHAnsi"/>
          <w:sz w:val="24"/>
          <w:szCs w:val="24"/>
          <w:lang w:val="en-US"/>
        </w:rPr>
        <w:t xml:space="preserve"> The name of this population will be used as a basis for the following steps.</w:t>
      </w:r>
    </w:p>
    <w:p w14:paraId="17726148" w14:textId="4C443B9E" w:rsidR="009810C7" w:rsidRDefault="00CE3C47" w:rsidP="00CE3C47">
      <w:pPr>
        <w:pStyle w:val="Prrafodelista"/>
        <w:numPr>
          <w:ilvl w:val="0"/>
          <w:numId w:val="3"/>
        </w:numPr>
        <w:spacing w:after="120" w:line="276" w:lineRule="auto"/>
        <w:jc w:val="both"/>
        <w:rPr>
          <w:rFonts w:cstheme="minorHAnsi"/>
          <w:sz w:val="24"/>
          <w:szCs w:val="24"/>
          <w:lang w:val="en-US"/>
        </w:rPr>
      </w:pPr>
      <w:r w:rsidRPr="00CE3C47">
        <w:rPr>
          <w:rFonts w:cstheme="minorHAnsi"/>
          <w:sz w:val="24"/>
          <w:szCs w:val="24"/>
          <w:lang w:val="en-US"/>
        </w:rPr>
        <w:t>Analyze the generated population with "</w:t>
      </w:r>
      <w:proofErr w:type="spellStart"/>
      <w:r w:rsidRPr="00CE3C47">
        <w:rPr>
          <w:rFonts w:cstheme="minorHAnsi"/>
          <w:sz w:val="24"/>
          <w:szCs w:val="24"/>
          <w:lang w:val="en-US"/>
        </w:rPr>
        <w:t>Analize_population.m</w:t>
      </w:r>
      <w:proofErr w:type="spellEnd"/>
      <w:r w:rsidRPr="00CE3C47">
        <w:rPr>
          <w:rFonts w:cstheme="minorHAnsi"/>
          <w:sz w:val="24"/>
          <w:szCs w:val="24"/>
          <w:lang w:val="en-US"/>
        </w:rPr>
        <w:t>".</w:t>
      </w:r>
      <w:r>
        <w:rPr>
          <w:rFonts w:cstheme="minorHAnsi"/>
          <w:sz w:val="24"/>
          <w:szCs w:val="24"/>
          <w:lang w:val="en-US"/>
        </w:rPr>
        <w:t xml:space="preserve"> </w:t>
      </w:r>
      <w:r w:rsidR="00A417EF" w:rsidRPr="00A417EF">
        <w:rPr>
          <w:rFonts w:cstheme="minorHAnsi"/>
          <w:sz w:val="24"/>
          <w:szCs w:val="24"/>
          <w:lang w:val="en-US"/>
        </w:rPr>
        <w:t xml:space="preserve">The distribution of </w:t>
      </w:r>
      <w:r w:rsidR="00A417EF">
        <w:rPr>
          <w:rFonts w:cstheme="minorHAnsi"/>
          <w:sz w:val="24"/>
          <w:szCs w:val="24"/>
          <w:lang w:val="en-US"/>
        </w:rPr>
        <w:t>scaling factors for the generated populations of the male and female models can be analyzed.</w:t>
      </w:r>
    </w:p>
    <w:p w14:paraId="42656BF4" w14:textId="4311E7E3" w:rsidR="00A417EF" w:rsidRDefault="00A417EF" w:rsidP="00CE3C47">
      <w:pPr>
        <w:pStyle w:val="Prrafodelista"/>
        <w:numPr>
          <w:ilvl w:val="0"/>
          <w:numId w:val="3"/>
        </w:numPr>
        <w:spacing w:after="120" w:line="276" w:lineRule="auto"/>
        <w:jc w:val="both"/>
        <w:rPr>
          <w:rFonts w:cstheme="minorHAnsi"/>
          <w:sz w:val="24"/>
          <w:szCs w:val="24"/>
          <w:lang w:val="en-US"/>
        </w:rPr>
      </w:pPr>
      <w:r w:rsidRPr="00A417EF">
        <w:rPr>
          <w:rFonts w:cstheme="minorHAnsi"/>
          <w:sz w:val="24"/>
          <w:szCs w:val="24"/>
          <w:lang w:val="en-US"/>
        </w:rPr>
        <w:t>Simulate the endo</w:t>
      </w:r>
      <w:r>
        <w:rPr>
          <w:rFonts w:cstheme="minorHAnsi"/>
          <w:sz w:val="24"/>
          <w:szCs w:val="24"/>
          <w:lang w:val="en-US"/>
        </w:rPr>
        <w:t>cardial</w:t>
      </w:r>
      <w:r w:rsidRPr="00A417EF">
        <w:rPr>
          <w:rFonts w:cstheme="minorHAnsi"/>
          <w:sz w:val="24"/>
          <w:szCs w:val="24"/>
          <w:lang w:val="en-US"/>
        </w:rPr>
        <w:t xml:space="preserve"> cells</w:t>
      </w:r>
      <w:r>
        <w:rPr>
          <w:rFonts w:cstheme="minorHAnsi"/>
          <w:sz w:val="24"/>
          <w:szCs w:val="24"/>
          <w:lang w:val="en-US"/>
        </w:rPr>
        <w:t xml:space="preserve"> of the populations</w:t>
      </w:r>
      <w:r w:rsidRPr="00A417EF">
        <w:rPr>
          <w:rFonts w:cstheme="minorHAnsi"/>
          <w:sz w:val="24"/>
          <w:szCs w:val="24"/>
          <w:lang w:val="en-US"/>
        </w:rPr>
        <w:t xml:space="preserve"> with "</w:t>
      </w:r>
      <w:proofErr w:type="spellStart"/>
      <w:r w:rsidRPr="00A417EF">
        <w:rPr>
          <w:rFonts w:cstheme="minorHAnsi"/>
          <w:sz w:val="24"/>
          <w:szCs w:val="24"/>
          <w:lang w:val="en-US"/>
        </w:rPr>
        <w:t>Simulate_population.m</w:t>
      </w:r>
      <w:proofErr w:type="spellEnd"/>
      <w:r w:rsidRPr="00A417EF">
        <w:rPr>
          <w:rFonts w:cstheme="minorHAnsi"/>
          <w:sz w:val="24"/>
          <w:szCs w:val="24"/>
          <w:lang w:val="en-US"/>
        </w:rPr>
        <w:t>".</w:t>
      </w:r>
    </w:p>
    <w:p w14:paraId="3D6105FD" w14:textId="2FCA8848" w:rsidR="00A417EF" w:rsidRPr="00A417EF" w:rsidRDefault="00A417EF" w:rsidP="00A417EF">
      <w:pPr>
        <w:pStyle w:val="Prrafodelista"/>
        <w:numPr>
          <w:ilvl w:val="0"/>
          <w:numId w:val="3"/>
        </w:numPr>
        <w:spacing w:after="120" w:line="276" w:lineRule="auto"/>
        <w:jc w:val="both"/>
        <w:rPr>
          <w:rFonts w:cstheme="minorHAnsi"/>
          <w:sz w:val="24"/>
          <w:szCs w:val="24"/>
          <w:lang w:val="en-US"/>
        </w:rPr>
      </w:pPr>
      <w:r w:rsidRPr="00A417EF">
        <w:rPr>
          <w:rFonts w:cstheme="minorHAnsi"/>
          <w:sz w:val="24"/>
          <w:szCs w:val="24"/>
          <w:lang w:val="en-US"/>
        </w:rPr>
        <w:lastRenderedPageBreak/>
        <w:t xml:space="preserve">Download simulation results + </w:t>
      </w:r>
      <w:r>
        <w:rPr>
          <w:rFonts w:cstheme="minorHAnsi"/>
          <w:sz w:val="24"/>
          <w:szCs w:val="24"/>
          <w:lang w:val="en-US"/>
        </w:rPr>
        <w:t>run “</w:t>
      </w:r>
      <w:proofErr w:type="spellStart"/>
      <w:r w:rsidRPr="00A417EF">
        <w:rPr>
          <w:rFonts w:cstheme="minorHAnsi"/>
          <w:sz w:val="24"/>
          <w:szCs w:val="24"/>
          <w:lang w:val="en-US"/>
        </w:rPr>
        <w:t>Analize_simulations.m</w:t>
      </w:r>
      <w:proofErr w:type="spellEnd"/>
      <w:r>
        <w:rPr>
          <w:rFonts w:cstheme="minorHAnsi"/>
          <w:sz w:val="24"/>
          <w:szCs w:val="24"/>
          <w:lang w:val="en-US"/>
        </w:rPr>
        <w:t>”. “</w:t>
      </w:r>
      <w:proofErr w:type="spellStart"/>
      <w:proofErr w:type="gramStart"/>
      <w:r w:rsidRPr="00A417EF">
        <w:rPr>
          <w:rFonts w:cstheme="minorHAnsi"/>
          <w:sz w:val="24"/>
          <w:szCs w:val="24"/>
          <w:lang w:val="en-US"/>
        </w:rPr>
        <w:t>analize</w:t>
      </w:r>
      <w:proofErr w:type="gramEnd"/>
      <w:r w:rsidRPr="00A417EF">
        <w:rPr>
          <w:rFonts w:cstheme="minorHAnsi"/>
          <w:sz w:val="24"/>
          <w:szCs w:val="24"/>
          <w:lang w:val="en-US"/>
        </w:rPr>
        <w:t>_ToSim_pop</w:t>
      </w:r>
      <w:proofErr w:type="spellEnd"/>
      <w:r>
        <w:rPr>
          <w:rFonts w:cstheme="minorHAnsi"/>
          <w:sz w:val="24"/>
          <w:szCs w:val="24"/>
          <w:lang w:val="en-US"/>
        </w:rPr>
        <w:t>” has to be set to 0. This calculates the biomarkers of the simulations.</w:t>
      </w:r>
    </w:p>
    <w:p w14:paraId="2B6B22FD" w14:textId="1B57466B" w:rsidR="00A417EF" w:rsidRDefault="00A417EF" w:rsidP="00CE3C47">
      <w:pPr>
        <w:pStyle w:val="Prrafodelista"/>
        <w:numPr>
          <w:ilvl w:val="0"/>
          <w:numId w:val="3"/>
        </w:numPr>
        <w:spacing w:after="120" w:line="276" w:lineRule="auto"/>
        <w:jc w:val="both"/>
        <w:rPr>
          <w:rFonts w:cstheme="minorHAnsi"/>
          <w:sz w:val="24"/>
          <w:szCs w:val="24"/>
          <w:lang w:val="en-US"/>
        </w:rPr>
      </w:pPr>
      <w:r>
        <w:rPr>
          <w:rFonts w:cstheme="minorHAnsi"/>
          <w:sz w:val="24"/>
          <w:szCs w:val="24"/>
          <w:lang w:val="en-US"/>
        </w:rPr>
        <w:t xml:space="preserve">Run </w:t>
      </w:r>
      <w:r w:rsidRPr="00A417EF">
        <w:rPr>
          <w:rFonts w:cstheme="minorHAnsi"/>
          <w:sz w:val="24"/>
          <w:szCs w:val="24"/>
          <w:lang w:val="en-US"/>
        </w:rPr>
        <w:t>“</w:t>
      </w:r>
      <w:proofErr w:type="spellStart"/>
      <w:r w:rsidRPr="00A417EF">
        <w:rPr>
          <w:rFonts w:cstheme="minorHAnsi"/>
          <w:sz w:val="24"/>
          <w:szCs w:val="24"/>
          <w:lang w:val="en-US"/>
        </w:rPr>
        <w:t>Select_good_simulations_and_plot.m</w:t>
      </w:r>
      <w:proofErr w:type="spellEnd"/>
      <w:r w:rsidRPr="00A417EF">
        <w:rPr>
          <w:rFonts w:cstheme="minorHAnsi"/>
          <w:sz w:val="24"/>
          <w:szCs w:val="24"/>
          <w:lang w:val="en-US"/>
        </w:rPr>
        <w:t>”</w:t>
      </w:r>
      <w:r>
        <w:rPr>
          <w:rFonts w:cstheme="minorHAnsi"/>
          <w:sz w:val="24"/>
          <w:szCs w:val="24"/>
          <w:lang w:val="en-US"/>
        </w:rPr>
        <w:t xml:space="preserve">. </w:t>
      </w:r>
      <w:r w:rsidRPr="00A417EF">
        <w:rPr>
          <w:rFonts w:cstheme="minorHAnsi"/>
          <w:sz w:val="24"/>
          <w:szCs w:val="24"/>
          <w:lang w:val="en-US"/>
        </w:rPr>
        <w:t xml:space="preserve">This generates a folder with the plots detailing the simulations selected by their </w:t>
      </w:r>
      <w:r>
        <w:rPr>
          <w:rFonts w:cstheme="minorHAnsi"/>
          <w:sz w:val="24"/>
          <w:szCs w:val="24"/>
          <w:lang w:val="en-US"/>
        </w:rPr>
        <w:t>scaling factors</w:t>
      </w:r>
      <w:r w:rsidRPr="00A417EF">
        <w:rPr>
          <w:rFonts w:cstheme="minorHAnsi"/>
          <w:sz w:val="24"/>
          <w:szCs w:val="24"/>
          <w:lang w:val="en-US"/>
        </w:rPr>
        <w:t xml:space="preserve"> in 0D endo. '</w:t>
      </w:r>
      <w:proofErr w:type="spellStart"/>
      <w:r w:rsidRPr="00A417EF">
        <w:rPr>
          <w:rFonts w:cstheme="minorHAnsi"/>
          <w:sz w:val="24"/>
          <w:szCs w:val="24"/>
          <w:lang w:val="en-US"/>
        </w:rPr>
        <w:t>Analyze_toSim_pop</w:t>
      </w:r>
      <w:proofErr w:type="spellEnd"/>
      <w:r w:rsidRPr="00A417EF">
        <w:rPr>
          <w:rFonts w:cstheme="minorHAnsi"/>
          <w:sz w:val="24"/>
          <w:szCs w:val="24"/>
          <w:lang w:val="en-US"/>
        </w:rPr>
        <w:t>' must be 0.</w:t>
      </w:r>
    </w:p>
    <w:p w14:paraId="474C486D" w14:textId="31BB1FC3" w:rsidR="00A417EF" w:rsidRDefault="00A417EF" w:rsidP="00CE3C47">
      <w:pPr>
        <w:pStyle w:val="Prrafodelista"/>
        <w:numPr>
          <w:ilvl w:val="0"/>
          <w:numId w:val="3"/>
        </w:numPr>
        <w:spacing w:after="120" w:line="276" w:lineRule="auto"/>
        <w:jc w:val="both"/>
        <w:rPr>
          <w:rFonts w:cstheme="minorHAnsi"/>
          <w:sz w:val="24"/>
          <w:szCs w:val="24"/>
          <w:lang w:val="en-US"/>
        </w:rPr>
      </w:pPr>
      <w:r>
        <w:rPr>
          <w:rFonts w:cstheme="minorHAnsi"/>
          <w:sz w:val="24"/>
          <w:szCs w:val="24"/>
          <w:lang w:val="en-US"/>
        </w:rPr>
        <w:t>Run</w:t>
      </w:r>
      <w:r w:rsidRPr="00A417EF">
        <w:rPr>
          <w:rFonts w:cstheme="minorHAnsi"/>
          <w:sz w:val="24"/>
          <w:szCs w:val="24"/>
          <w:lang w:val="en-US"/>
        </w:rPr>
        <w:t xml:space="preserve"> “</w:t>
      </w:r>
      <w:proofErr w:type="spellStart"/>
      <w:r w:rsidRPr="00A417EF">
        <w:rPr>
          <w:rFonts w:cstheme="minorHAnsi"/>
          <w:sz w:val="24"/>
          <w:szCs w:val="24"/>
          <w:lang w:val="en-US"/>
        </w:rPr>
        <w:t>Simulate_toSim_population.m</w:t>
      </w:r>
      <w:proofErr w:type="spellEnd"/>
      <w:r w:rsidRPr="00A417EF">
        <w:rPr>
          <w:rFonts w:cstheme="minorHAnsi"/>
          <w:sz w:val="24"/>
          <w:szCs w:val="24"/>
          <w:lang w:val="en-US"/>
        </w:rPr>
        <w:t>”</w:t>
      </w:r>
      <w:r>
        <w:rPr>
          <w:rFonts w:cstheme="minorHAnsi"/>
          <w:sz w:val="24"/>
          <w:szCs w:val="24"/>
          <w:lang w:val="en-US"/>
        </w:rPr>
        <w:t>. It s</w:t>
      </w:r>
      <w:r w:rsidRPr="00A417EF">
        <w:rPr>
          <w:rFonts w:cstheme="minorHAnsi"/>
          <w:sz w:val="24"/>
          <w:szCs w:val="24"/>
          <w:lang w:val="en-US"/>
        </w:rPr>
        <w:t>imulate</w:t>
      </w:r>
      <w:r>
        <w:rPr>
          <w:rFonts w:cstheme="minorHAnsi"/>
          <w:sz w:val="24"/>
          <w:szCs w:val="24"/>
          <w:lang w:val="en-US"/>
        </w:rPr>
        <w:t>s</w:t>
      </w:r>
      <w:r w:rsidRPr="00A417EF">
        <w:rPr>
          <w:rFonts w:cstheme="minorHAnsi"/>
          <w:sz w:val="24"/>
          <w:szCs w:val="24"/>
          <w:lang w:val="en-US"/>
        </w:rPr>
        <w:t xml:space="preserve"> the population in mid and epi</w:t>
      </w:r>
      <w:r>
        <w:rPr>
          <w:rFonts w:cstheme="minorHAnsi"/>
          <w:sz w:val="24"/>
          <w:szCs w:val="24"/>
          <w:lang w:val="en-US"/>
        </w:rPr>
        <w:t>cardial</w:t>
      </w:r>
      <w:r w:rsidRPr="00A417EF">
        <w:rPr>
          <w:rFonts w:cstheme="minorHAnsi"/>
          <w:sz w:val="24"/>
          <w:szCs w:val="24"/>
          <w:lang w:val="en-US"/>
        </w:rPr>
        <w:t>.</w:t>
      </w:r>
    </w:p>
    <w:p w14:paraId="68710027" w14:textId="7B463E6D" w:rsidR="00A417EF" w:rsidRPr="00A417EF" w:rsidRDefault="00A417EF" w:rsidP="00A417EF">
      <w:pPr>
        <w:pStyle w:val="Prrafodelista"/>
        <w:numPr>
          <w:ilvl w:val="0"/>
          <w:numId w:val="3"/>
        </w:numPr>
        <w:spacing w:after="120" w:line="276" w:lineRule="auto"/>
        <w:jc w:val="both"/>
        <w:rPr>
          <w:rFonts w:cstheme="minorHAnsi"/>
          <w:sz w:val="24"/>
          <w:szCs w:val="24"/>
          <w:lang w:val="en-US"/>
        </w:rPr>
      </w:pPr>
      <w:r w:rsidRPr="00A417EF">
        <w:rPr>
          <w:rFonts w:cstheme="minorHAnsi"/>
          <w:sz w:val="24"/>
          <w:szCs w:val="24"/>
          <w:lang w:val="en-US"/>
        </w:rPr>
        <w:t xml:space="preserve">Download simulation results + </w:t>
      </w:r>
      <w:r>
        <w:rPr>
          <w:rFonts w:cstheme="minorHAnsi"/>
          <w:sz w:val="24"/>
          <w:szCs w:val="24"/>
          <w:lang w:val="en-US"/>
        </w:rPr>
        <w:t>run “</w:t>
      </w:r>
      <w:proofErr w:type="spellStart"/>
      <w:r w:rsidRPr="00A417EF">
        <w:rPr>
          <w:rFonts w:cstheme="minorHAnsi"/>
          <w:sz w:val="24"/>
          <w:szCs w:val="24"/>
          <w:lang w:val="en-US"/>
        </w:rPr>
        <w:t>Analize_simulations.m</w:t>
      </w:r>
      <w:proofErr w:type="spellEnd"/>
      <w:r>
        <w:rPr>
          <w:rFonts w:cstheme="minorHAnsi"/>
          <w:sz w:val="24"/>
          <w:szCs w:val="24"/>
          <w:lang w:val="en-US"/>
        </w:rPr>
        <w:t>”. “</w:t>
      </w:r>
      <w:proofErr w:type="spellStart"/>
      <w:proofErr w:type="gramStart"/>
      <w:r w:rsidRPr="00A417EF">
        <w:rPr>
          <w:rFonts w:cstheme="minorHAnsi"/>
          <w:sz w:val="24"/>
          <w:szCs w:val="24"/>
          <w:lang w:val="en-US"/>
        </w:rPr>
        <w:t>analize</w:t>
      </w:r>
      <w:proofErr w:type="gramEnd"/>
      <w:r w:rsidRPr="00A417EF">
        <w:rPr>
          <w:rFonts w:cstheme="minorHAnsi"/>
          <w:sz w:val="24"/>
          <w:szCs w:val="24"/>
          <w:lang w:val="en-US"/>
        </w:rPr>
        <w:t>_ToSim_pop</w:t>
      </w:r>
      <w:proofErr w:type="spellEnd"/>
      <w:r>
        <w:rPr>
          <w:rFonts w:cstheme="minorHAnsi"/>
          <w:sz w:val="24"/>
          <w:szCs w:val="24"/>
          <w:lang w:val="en-US"/>
        </w:rPr>
        <w:t xml:space="preserve">” has to be </w:t>
      </w:r>
      <w:r>
        <w:rPr>
          <w:rFonts w:cstheme="minorHAnsi"/>
          <w:sz w:val="24"/>
          <w:szCs w:val="24"/>
          <w:lang w:val="en-US"/>
        </w:rPr>
        <w:t>different than 0</w:t>
      </w:r>
      <w:r>
        <w:rPr>
          <w:rFonts w:cstheme="minorHAnsi"/>
          <w:sz w:val="24"/>
          <w:szCs w:val="24"/>
          <w:lang w:val="en-US"/>
        </w:rPr>
        <w:t xml:space="preserve">. </w:t>
      </w:r>
    </w:p>
    <w:p w14:paraId="2C465F06" w14:textId="6AC1EB1B" w:rsidR="00A417EF" w:rsidRPr="00DA45C2" w:rsidRDefault="00A417EF" w:rsidP="00CE3C47">
      <w:pPr>
        <w:pStyle w:val="Prrafodelista"/>
        <w:numPr>
          <w:ilvl w:val="0"/>
          <w:numId w:val="3"/>
        </w:numPr>
        <w:spacing w:after="120" w:line="276" w:lineRule="auto"/>
        <w:jc w:val="both"/>
        <w:rPr>
          <w:rFonts w:cstheme="minorHAnsi"/>
          <w:sz w:val="24"/>
          <w:szCs w:val="24"/>
          <w:lang w:val="en-US"/>
        </w:rPr>
      </w:pPr>
      <w:r>
        <w:rPr>
          <w:rFonts w:cstheme="minorHAnsi"/>
          <w:sz w:val="24"/>
          <w:szCs w:val="24"/>
          <w:lang w:val="en-US"/>
        </w:rPr>
        <w:t xml:space="preserve">Run </w:t>
      </w:r>
      <w:r w:rsidRPr="00A417EF">
        <w:rPr>
          <w:rFonts w:cstheme="minorHAnsi"/>
          <w:sz w:val="24"/>
          <w:szCs w:val="24"/>
          <w:lang w:val="en-US"/>
        </w:rPr>
        <w:t>“</w:t>
      </w:r>
      <w:proofErr w:type="spellStart"/>
      <w:r w:rsidRPr="00A417EF">
        <w:rPr>
          <w:rFonts w:cstheme="minorHAnsi"/>
          <w:sz w:val="24"/>
          <w:szCs w:val="24"/>
          <w:lang w:val="en-US"/>
        </w:rPr>
        <w:t>Select_good_simulations_and_plot.m</w:t>
      </w:r>
      <w:proofErr w:type="spellEnd"/>
      <w:r w:rsidRPr="00A417EF">
        <w:rPr>
          <w:rFonts w:cstheme="minorHAnsi"/>
          <w:sz w:val="24"/>
          <w:szCs w:val="24"/>
          <w:lang w:val="en-US"/>
        </w:rPr>
        <w:t>”</w:t>
      </w:r>
      <w:r>
        <w:rPr>
          <w:rFonts w:cstheme="minorHAnsi"/>
          <w:sz w:val="24"/>
          <w:szCs w:val="24"/>
          <w:lang w:val="en-US"/>
        </w:rPr>
        <w:t xml:space="preserve">. </w:t>
      </w:r>
      <w:r w:rsidR="00DA45C2" w:rsidRPr="00DA45C2">
        <w:rPr>
          <w:rFonts w:cstheme="minorHAnsi"/>
          <w:sz w:val="24"/>
          <w:szCs w:val="24"/>
          <w:lang w:val="en-US"/>
        </w:rPr>
        <w:t xml:space="preserve">This time, </w:t>
      </w:r>
      <w:r w:rsidR="00DA45C2">
        <w:rPr>
          <w:rFonts w:cstheme="minorHAnsi"/>
          <w:sz w:val="24"/>
          <w:szCs w:val="24"/>
          <w:lang w:val="en-US"/>
        </w:rPr>
        <w:t>“</w:t>
      </w:r>
      <w:proofErr w:type="spellStart"/>
      <w:r w:rsidR="00DA45C2" w:rsidRPr="00DA45C2">
        <w:rPr>
          <w:rFonts w:cstheme="minorHAnsi"/>
          <w:sz w:val="24"/>
          <w:szCs w:val="24"/>
          <w:lang w:val="en-US"/>
        </w:rPr>
        <w:t>Analyze_toSim_pop</w:t>
      </w:r>
      <w:proofErr w:type="spellEnd"/>
      <w:r w:rsidR="00DA45C2">
        <w:rPr>
          <w:rFonts w:cstheme="minorHAnsi"/>
          <w:sz w:val="24"/>
          <w:szCs w:val="24"/>
          <w:lang w:val="en-US"/>
        </w:rPr>
        <w:t>”</w:t>
      </w:r>
      <w:r w:rsidR="00DA45C2" w:rsidRPr="00DA45C2">
        <w:rPr>
          <w:rFonts w:cstheme="minorHAnsi"/>
          <w:sz w:val="24"/>
          <w:szCs w:val="24"/>
          <w:lang w:val="en-US"/>
        </w:rPr>
        <w:t xml:space="preserve"> must be 2. It </w:t>
      </w:r>
      <w:r w:rsidR="00DA45C2">
        <w:rPr>
          <w:rFonts w:cstheme="minorHAnsi"/>
          <w:sz w:val="24"/>
          <w:szCs w:val="24"/>
          <w:lang w:val="en-US"/>
        </w:rPr>
        <w:t>further calibrates the populations of models</w:t>
      </w:r>
      <w:r w:rsidR="00DA45C2" w:rsidRPr="00DA45C2">
        <w:rPr>
          <w:rFonts w:cstheme="minorHAnsi"/>
          <w:sz w:val="24"/>
          <w:szCs w:val="24"/>
          <w:lang w:val="en-US"/>
        </w:rPr>
        <w:t>, but for the mid and epi population, selecting the simulations by their APD in these cells.</w:t>
      </w:r>
    </w:p>
    <w:p w14:paraId="0DD5CEC7" w14:textId="03FF406D" w:rsidR="009810C7" w:rsidRDefault="009810C7" w:rsidP="009810C7">
      <w:pPr>
        <w:pStyle w:val="Ttulo1"/>
        <w:rPr>
          <w:lang w:val="en-US"/>
        </w:rPr>
      </w:pPr>
      <w:r>
        <w:rPr>
          <w:lang w:val="en-US"/>
        </w:rPr>
        <w:t>References</w:t>
      </w:r>
    </w:p>
    <w:sdt>
      <w:sdtPr>
        <w:rPr>
          <w:lang w:val="en-US"/>
        </w:rPr>
        <w:tag w:val="MENDELEY_BIBLIOGRAPHY"/>
        <w:id w:val="560055795"/>
        <w:placeholder>
          <w:docPart w:val="DefaultPlaceholder_-1854013440"/>
        </w:placeholder>
      </w:sdtPr>
      <w:sdtContent>
        <w:p w14:paraId="30568148" w14:textId="77777777" w:rsidR="00CE3C47" w:rsidRPr="00CE3C47" w:rsidRDefault="00CE3C47">
          <w:pPr>
            <w:autoSpaceDE w:val="0"/>
            <w:autoSpaceDN w:val="0"/>
            <w:ind w:hanging="640"/>
            <w:divId w:val="1843885559"/>
            <w:rPr>
              <w:rFonts w:eastAsia="Times New Roman"/>
              <w:sz w:val="24"/>
              <w:szCs w:val="24"/>
              <w:lang w:val="en-US"/>
            </w:rPr>
          </w:pPr>
          <w:r w:rsidRPr="00CE3C47">
            <w:rPr>
              <w:rFonts w:eastAsia="Times New Roman"/>
              <w:lang w:val="en-US"/>
            </w:rPr>
            <w:t>[1]</w:t>
          </w:r>
          <w:r w:rsidRPr="00CE3C47">
            <w:rPr>
              <w:rFonts w:eastAsia="Times New Roman"/>
              <w:lang w:val="en-US"/>
            </w:rPr>
            <w:tab/>
            <w:t xml:space="preserve">N. </w:t>
          </w:r>
          <w:proofErr w:type="spellStart"/>
          <w:r w:rsidRPr="00CE3C47">
            <w:rPr>
              <w:rFonts w:eastAsia="Times New Roman"/>
              <w:lang w:val="en-US"/>
            </w:rPr>
            <w:t>Gaborit</w:t>
          </w:r>
          <w:proofErr w:type="spellEnd"/>
          <w:r w:rsidRPr="00CE3C47">
            <w:rPr>
              <w:rFonts w:eastAsia="Times New Roman"/>
              <w:lang w:val="en-US"/>
            </w:rPr>
            <w:t xml:space="preserve"> </w:t>
          </w:r>
          <w:r w:rsidRPr="00CE3C47">
            <w:rPr>
              <w:rFonts w:eastAsia="Times New Roman"/>
              <w:i/>
              <w:iCs/>
              <w:lang w:val="en-US"/>
            </w:rPr>
            <w:t>et al.</w:t>
          </w:r>
          <w:r w:rsidRPr="00CE3C47">
            <w:rPr>
              <w:rFonts w:eastAsia="Times New Roman"/>
              <w:lang w:val="en-US"/>
            </w:rPr>
            <w:t xml:space="preserve">, “Gender-related differences in ion-channel and transporter subunit expression in non-diseased human hearts,” </w:t>
          </w:r>
          <w:r w:rsidRPr="00CE3C47">
            <w:rPr>
              <w:rFonts w:eastAsia="Times New Roman"/>
              <w:i/>
              <w:iCs/>
              <w:lang w:val="en-US"/>
            </w:rPr>
            <w:t xml:space="preserve">J Mol Cell </w:t>
          </w:r>
          <w:proofErr w:type="spellStart"/>
          <w:r w:rsidRPr="00CE3C47">
            <w:rPr>
              <w:rFonts w:eastAsia="Times New Roman"/>
              <w:i/>
              <w:iCs/>
              <w:lang w:val="en-US"/>
            </w:rPr>
            <w:t>Cardiol</w:t>
          </w:r>
          <w:proofErr w:type="spellEnd"/>
          <w:r w:rsidRPr="00CE3C47">
            <w:rPr>
              <w:rFonts w:eastAsia="Times New Roman"/>
              <w:lang w:val="en-US"/>
            </w:rPr>
            <w:t xml:space="preserve">, vol. 49, no. 4, pp. 639–646, Oct. 2010, </w:t>
          </w:r>
          <w:proofErr w:type="spellStart"/>
          <w:r w:rsidRPr="00CE3C47">
            <w:rPr>
              <w:rFonts w:eastAsia="Times New Roman"/>
              <w:lang w:val="en-US"/>
            </w:rPr>
            <w:t>doi</w:t>
          </w:r>
          <w:proofErr w:type="spellEnd"/>
          <w:r w:rsidRPr="00CE3C47">
            <w:rPr>
              <w:rFonts w:eastAsia="Times New Roman"/>
              <w:lang w:val="en-US"/>
            </w:rPr>
            <w:t>: 10.1016/J.YJMCC.2010.06.005.</w:t>
          </w:r>
        </w:p>
        <w:p w14:paraId="1A646686" w14:textId="01AA6979" w:rsidR="009810C7" w:rsidRPr="009810C7" w:rsidRDefault="00CE3C47" w:rsidP="009810C7">
          <w:pPr>
            <w:rPr>
              <w:lang w:val="en-US"/>
            </w:rPr>
          </w:pPr>
          <w:r w:rsidRPr="00CE3C47">
            <w:rPr>
              <w:rFonts w:eastAsia="Times New Roman"/>
              <w:lang w:val="en-US"/>
            </w:rPr>
            <w:t> </w:t>
          </w:r>
        </w:p>
      </w:sdtContent>
    </w:sdt>
    <w:sectPr w:rsidR="009810C7" w:rsidRPr="009810C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B6040"/>
    <w:multiLevelType w:val="hybridMultilevel"/>
    <w:tmpl w:val="AA703B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79A344F7"/>
    <w:multiLevelType w:val="hybridMultilevel"/>
    <w:tmpl w:val="AD24BC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E2809A2"/>
    <w:multiLevelType w:val="hybridMultilevel"/>
    <w:tmpl w:val="5870595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685589692">
    <w:abstractNumId w:val="1"/>
  </w:num>
  <w:num w:numId="2" w16cid:durableId="1021052357">
    <w:abstractNumId w:val="0"/>
  </w:num>
  <w:num w:numId="3" w16cid:durableId="13435825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LM0MDK1NDC3NDYxNjJW0lEKTi0uzszPAykwrAUAmcEqdywAAAA="/>
  </w:docVars>
  <w:rsids>
    <w:rsidRoot w:val="00972FD8"/>
    <w:rsid w:val="0002349F"/>
    <w:rsid w:val="00184099"/>
    <w:rsid w:val="002208D2"/>
    <w:rsid w:val="00326DC9"/>
    <w:rsid w:val="0036099D"/>
    <w:rsid w:val="003B4CB4"/>
    <w:rsid w:val="004907F2"/>
    <w:rsid w:val="00576361"/>
    <w:rsid w:val="00672BFA"/>
    <w:rsid w:val="00972FD8"/>
    <w:rsid w:val="009810C7"/>
    <w:rsid w:val="00A417EF"/>
    <w:rsid w:val="00CE3C47"/>
    <w:rsid w:val="00DA45C2"/>
    <w:rsid w:val="00DB50A0"/>
    <w:rsid w:val="00EB2494"/>
    <w:rsid w:val="00F15277"/>
    <w:rsid w:val="00F60812"/>
    <w:rsid w:val="00FA26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CAA38"/>
  <w15:chartTrackingRefBased/>
  <w15:docId w15:val="{4103A602-FE62-4523-AEBF-9276EB81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810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72FD8"/>
    <w:pPr>
      <w:ind w:left="720"/>
      <w:contextualSpacing/>
    </w:pPr>
  </w:style>
  <w:style w:type="character" w:customStyle="1" w:styleId="Ttulo1Car">
    <w:name w:val="Título 1 Car"/>
    <w:basedOn w:val="Fuentedeprrafopredeter"/>
    <w:link w:val="Ttulo1"/>
    <w:uiPriority w:val="9"/>
    <w:rsid w:val="009810C7"/>
    <w:rPr>
      <w:rFonts w:asciiTheme="majorHAnsi" w:eastAsiaTheme="majorEastAsia" w:hAnsiTheme="majorHAnsi" w:cstheme="majorBidi"/>
      <w:color w:val="2F5496" w:themeColor="accent1" w:themeShade="BF"/>
      <w:sz w:val="32"/>
      <w:szCs w:val="32"/>
    </w:rPr>
  </w:style>
  <w:style w:type="character" w:styleId="Textodelmarcadordeposicin">
    <w:name w:val="Placeholder Text"/>
    <w:basedOn w:val="Fuentedeprrafopredeter"/>
    <w:uiPriority w:val="99"/>
    <w:rsid w:val="009810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23649">
      <w:bodyDiv w:val="1"/>
      <w:marLeft w:val="0"/>
      <w:marRight w:val="0"/>
      <w:marTop w:val="0"/>
      <w:marBottom w:val="0"/>
      <w:divBdr>
        <w:top w:val="none" w:sz="0" w:space="0" w:color="auto"/>
        <w:left w:val="none" w:sz="0" w:space="0" w:color="auto"/>
        <w:bottom w:val="none" w:sz="0" w:space="0" w:color="auto"/>
        <w:right w:val="none" w:sz="0" w:space="0" w:color="auto"/>
      </w:divBdr>
      <w:divsChild>
        <w:div w:id="1031808726">
          <w:marLeft w:val="0"/>
          <w:marRight w:val="0"/>
          <w:marTop w:val="0"/>
          <w:marBottom w:val="0"/>
          <w:divBdr>
            <w:top w:val="none" w:sz="0" w:space="0" w:color="auto"/>
            <w:left w:val="none" w:sz="0" w:space="0" w:color="auto"/>
            <w:bottom w:val="none" w:sz="0" w:space="0" w:color="auto"/>
            <w:right w:val="none" w:sz="0" w:space="0" w:color="auto"/>
          </w:divBdr>
          <w:divsChild>
            <w:div w:id="30725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24307">
      <w:bodyDiv w:val="1"/>
      <w:marLeft w:val="0"/>
      <w:marRight w:val="0"/>
      <w:marTop w:val="0"/>
      <w:marBottom w:val="0"/>
      <w:divBdr>
        <w:top w:val="none" w:sz="0" w:space="0" w:color="auto"/>
        <w:left w:val="none" w:sz="0" w:space="0" w:color="auto"/>
        <w:bottom w:val="none" w:sz="0" w:space="0" w:color="auto"/>
        <w:right w:val="none" w:sz="0" w:space="0" w:color="auto"/>
      </w:divBdr>
      <w:divsChild>
        <w:div w:id="662128753">
          <w:marLeft w:val="0"/>
          <w:marRight w:val="0"/>
          <w:marTop w:val="0"/>
          <w:marBottom w:val="0"/>
          <w:divBdr>
            <w:top w:val="none" w:sz="0" w:space="0" w:color="auto"/>
            <w:left w:val="none" w:sz="0" w:space="0" w:color="auto"/>
            <w:bottom w:val="none" w:sz="0" w:space="0" w:color="auto"/>
            <w:right w:val="none" w:sz="0" w:space="0" w:color="auto"/>
          </w:divBdr>
          <w:divsChild>
            <w:div w:id="40141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902791">
      <w:bodyDiv w:val="1"/>
      <w:marLeft w:val="0"/>
      <w:marRight w:val="0"/>
      <w:marTop w:val="0"/>
      <w:marBottom w:val="0"/>
      <w:divBdr>
        <w:top w:val="none" w:sz="0" w:space="0" w:color="auto"/>
        <w:left w:val="none" w:sz="0" w:space="0" w:color="auto"/>
        <w:bottom w:val="none" w:sz="0" w:space="0" w:color="auto"/>
        <w:right w:val="none" w:sz="0" w:space="0" w:color="auto"/>
      </w:divBdr>
    </w:div>
    <w:div w:id="954991368">
      <w:bodyDiv w:val="1"/>
      <w:marLeft w:val="0"/>
      <w:marRight w:val="0"/>
      <w:marTop w:val="0"/>
      <w:marBottom w:val="0"/>
      <w:divBdr>
        <w:top w:val="none" w:sz="0" w:space="0" w:color="auto"/>
        <w:left w:val="none" w:sz="0" w:space="0" w:color="auto"/>
        <w:bottom w:val="none" w:sz="0" w:space="0" w:color="auto"/>
        <w:right w:val="none" w:sz="0" w:space="0" w:color="auto"/>
      </w:divBdr>
      <w:divsChild>
        <w:div w:id="1843885559">
          <w:marLeft w:val="640"/>
          <w:marRight w:val="0"/>
          <w:marTop w:val="0"/>
          <w:marBottom w:val="0"/>
          <w:divBdr>
            <w:top w:val="none" w:sz="0" w:space="0" w:color="auto"/>
            <w:left w:val="none" w:sz="0" w:space="0" w:color="auto"/>
            <w:bottom w:val="none" w:sz="0" w:space="0" w:color="auto"/>
            <w:right w:val="none" w:sz="0" w:space="0" w:color="auto"/>
          </w:divBdr>
        </w:div>
      </w:divsChild>
    </w:div>
    <w:div w:id="959919025">
      <w:bodyDiv w:val="1"/>
      <w:marLeft w:val="0"/>
      <w:marRight w:val="0"/>
      <w:marTop w:val="0"/>
      <w:marBottom w:val="0"/>
      <w:divBdr>
        <w:top w:val="none" w:sz="0" w:space="0" w:color="auto"/>
        <w:left w:val="none" w:sz="0" w:space="0" w:color="auto"/>
        <w:bottom w:val="none" w:sz="0" w:space="0" w:color="auto"/>
        <w:right w:val="none" w:sz="0" w:space="0" w:color="auto"/>
      </w:divBdr>
      <w:divsChild>
        <w:div w:id="1020622321">
          <w:marLeft w:val="0"/>
          <w:marRight w:val="0"/>
          <w:marTop w:val="0"/>
          <w:marBottom w:val="0"/>
          <w:divBdr>
            <w:top w:val="none" w:sz="0" w:space="0" w:color="auto"/>
            <w:left w:val="none" w:sz="0" w:space="0" w:color="auto"/>
            <w:bottom w:val="none" w:sz="0" w:space="0" w:color="auto"/>
            <w:right w:val="none" w:sz="0" w:space="0" w:color="auto"/>
          </w:divBdr>
          <w:divsChild>
            <w:div w:id="2024670544">
              <w:marLeft w:val="0"/>
              <w:marRight w:val="0"/>
              <w:marTop w:val="0"/>
              <w:marBottom w:val="0"/>
              <w:divBdr>
                <w:top w:val="none" w:sz="0" w:space="0" w:color="auto"/>
                <w:left w:val="none" w:sz="0" w:space="0" w:color="auto"/>
                <w:bottom w:val="none" w:sz="0" w:space="0" w:color="auto"/>
                <w:right w:val="none" w:sz="0" w:space="0" w:color="auto"/>
              </w:divBdr>
            </w:div>
            <w:div w:id="151356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914318">
      <w:bodyDiv w:val="1"/>
      <w:marLeft w:val="0"/>
      <w:marRight w:val="0"/>
      <w:marTop w:val="0"/>
      <w:marBottom w:val="0"/>
      <w:divBdr>
        <w:top w:val="none" w:sz="0" w:space="0" w:color="auto"/>
        <w:left w:val="none" w:sz="0" w:space="0" w:color="auto"/>
        <w:bottom w:val="none" w:sz="0" w:space="0" w:color="auto"/>
        <w:right w:val="none" w:sz="0" w:space="0" w:color="auto"/>
      </w:divBdr>
      <w:divsChild>
        <w:div w:id="1668748412">
          <w:marLeft w:val="0"/>
          <w:marRight w:val="0"/>
          <w:marTop w:val="0"/>
          <w:marBottom w:val="0"/>
          <w:divBdr>
            <w:top w:val="none" w:sz="0" w:space="0" w:color="auto"/>
            <w:left w:val="none" w:sz="0" w:space="0" w:color="auto"/>
            <w:bottom w:val="none" w:sz="0" w:space="0" w:color="auto"/>
            <w:right w:val="none" w:sz="0" w:space="0" w:color="auto"/>
          </w:divBdr>
          <w:divsChild>
            <w:div w:id="69391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61098">
      <w:bodyDiv w:val="1"/>
      <w:marLeft w:val="0"/>
      <w:marRight w:val="0"/>
      <w:marTop w:val="0"/>
      <w:marBottom w:val="0"/>
      <w:divBdr>
        <w:top w:val="none" w:sz="0" w:space="0" w:color="auto"/>
        <w:left w:val="none" w:sz="0" w:space="0" w:color="auto"/>
        <w:bottom w:val="none" w:sz="0" w:space="0" w:color="auto"/>
        <w:right w:val="none" w:sz="0" w:space="0" w:color="auto"/>
      </w:divBdr>
    </w:div>
    <w:div w:id="1852990109">
      <w:bodyDiv w:val="1"/>
      <w:marLeft w:val="0"/>
      <w:marRight w:val="0"/>
      <w:marTop w:val="0"/>
      <w:marBottom w:val="0"/>
      <w:divBdr>
        <w:top w:val="none" w:sz="0" w:space="0" w:color="auto"/>
        <w:left w:val="none" w:sz="0" w:space="0" w:color="auto"/>
        <w:bottom w:val="none" w:sz="0" w:space="0" w:color="auto"/>
        <w:right w:val="none" w:sz="0" w:space="0" w:color="auto"/>
      </w:divBdr>
      <w:divsChild>
        <w:div w:id="1171064825">
          <w:marLeft w:val="0"/>
          <w:marRight w:val="0"/>
          <w:marTop w:val="0"/>
          <w:marBottom w:val="0"/>
          <w:divBdr>
            <w:top w:val="none" w:sz="0" w:space="0" w:color="auto"/>
            <w:left w:val="none" w:sz="0" w:space="0" w:color="auto"/>
            <w:bottom w:val="none" w:sz="0" w:space="0" w:color="auto"/>
            <w:right w:val="none" w:sz="0" w:space="0" w:color="auto"/>
          </w:divBdr>
          <w:divsChild>
            <w:div w:id="734163633">
              <w:marLeft w:val="0"/>
              <w:marRight w:val="0"/>
              <w:marTop w:val="0"/>
              <w:marBottom w:val="0"/>
              <w:divBdr>
                <w:top w:val="none" w:sz="0" w:space="0" w:color="auto"/>
                <w:left w:val="none" w:sz="0" w:space="0" w:color="auto"/>
                <w:bottom w:val="none" w:sz="0" w:space="0" w:color="auto"/>
                <w:right w:val="none" w:sz="0" w:space="0" w:color="auto"/>
              </w:divBdr>
            </w:div>
            <w:div w:id="7292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523251">
      <w:bodyDiv w:val="1"/>
      <w:marLeft w:val="0"/>
      <w:marRight w:val="0"/>
      <w:marTop w:val="0"/>
      <w:marBottom w:val="0"/>
      <w:divBdr>
        <w:top w:val="none" w:sz="0" w:space="0" w:color="auto"/>
        <w:left w:val="none" w:sz="0" w:space="0" w:color="auto"/>
        <w:bottom w:val="none" w:sz="0" w:space="0" w:color="auto"/>
        <w:right w:val="none" w:sz="0" w:space="0" w:color="auto"/>
      </w:divBdr>
      <w:divsChild>
        <w:div w:id="1425224610">
          <w:marLeft w:val="0"/>
          <w:marRight w:val="0"/>
          <w:marTop w:val="0"/>
          <w:marBottom w:val="0"/>
          <w:divBdr>
            <w:top w:val="none" w:sz="0" w:space="0" w:color="auto"/>
            <w:left w:val="none" w:sz="0" w:space="0" w:color="auto"/>
            <w:bottom w:val="none" w:sz="0" w:space="0" w:color="auto"/>
            <w:right w:val="none" w:sz="0" w:space="0" w:color="auto"/>
          </w:divBdr>
          <w:divsChild>
            <w:div w:id="765807418">
              <w:marLeft w:val="0"/>
              <w:marRight w:val="0"/>
              <w:marTop w:val="0"/>
              <w:marBottom w:val="0"/>
              <w:divBdr>
                <w:top w:val="none" w:sz="0" w:space="0" w:color="auto"/>
                <w:left w:val="none" w:sz="0" w:space="0" w:color="auto"/>
                <w:bottom w:val="none" w:sz="0" w:space="0" w:color="auto"/>
                <w:right w:val="none" w:sz="0" w:space="0" w:color="auto"/>
              </w:divBdr>
            </w:div>
            <w:div w:id="543642366">
              <w:marLeft w:val="0"/>
              <w:marRight w:val="0"/>
              <w:marTop w:val="0"/>
              <w:marBottom w:val="0"/>
              <w:divBdr>
                <w:top w:val="none" w:sz="0" w:space="0" w:color="auto"/>
                <w:left w:val="none" w:sz="0" w:space="0" w:color="auto"/>
                <w:bottom w:val="none" w:sz="0" w:space="0" w:color="auto"/>
                <w:right w:val="none" w:sz="0" w:space="0" w:color="auto"/>
              </w:divBdr>
            </w:div>
            <w:div w:id="1931086372">
              <w:marLeft w:val="0"/>
              <w:marRight w:val="0"/>
              <w:marTop w:val="0"/>
              <w:marBottom w:val="0"/>
              <w:divBdr>
                <w:top w:val="none" w:sz="0" w:space="0" w:color="auto"/>
                <w:left w:val="none" w:sz="0" w:space="0" w:color="auto"/>
                <w:bottom w:val="none" w:sz="0" w:space="0" w:color="auto"/>
                <w:right w:val="none" w:sz="0" w:space="0" w:color="auto"/>
              </w:divBdr>
            </w:div>
            <w:div w:id="463698860">
              <w:marLeft w:val="0"/>
              <w:marRight w:val="0"/>
              <w:marTop w:val="0"/>
              <w:marBottom w:val="0"/>
              <w:divBdr>
                <w:top w:val="none" w:sz="0" w:space="0" w:color="auto"/>
                <w:left w:val="none" w:sz="0" w:space="0" w:color="auto"/>
                <w:bottom w:val="none" w:sz="0" w:space="0" w:color="auto"/>
                <w:right w:val="none" w:sz="0" w:space="0" w:color="auto"/>
              </w:divBdr>
            </w:div>
            <w:div w:id="489180787">
              <w:marLeft w:val="0"/>
              <w:marRight w:val="0"/>
              <w:marTop w:val="0"/>
              <w:marBottom w:val="0"/>
              <w:divBdr>
                <w:top w:val="none" w:sz="0" w:space="0" w:color="auto"/>
                <w:left w:val="none" w:sz="0" w:space="0" w:color="auto"/>
                <w:bottom w:val="none" w:sz="0" w:space="0" w:color="auto"/>
                <w:right w:val="none" w:sz="0" w:space="0" w:color="auto"/>
              </w:divBdr>
            </w:div>
            <w:div w:id="1040784711">
              <w:marLeft w:val="0"/>
              <w:marRight w:val="0"/>
              <w:marTop w:val="0"/>
              <w:marBottom w:val="0"/>
              <w:divBdr>
                <w:top w:val="none" w:sz="0" w:space="0" w:color="auto"/>
                <w:left w:val="none" w:sz="0" w:space="0" w:color="auto"/>
                <w:bottom w:val="none" w:sz="0" w:space="0" w:color="auto"/>
                <w:right w:val="none" w:sz="0" w:space="0" w:color="auto"/>
              </w:divBdr>
            </w:div>
            <w:div w:id="983777685">
              <w:marLeft w:val="0"/>
              <w:marRight w:val="0"/>
              <w:marTop w:val="0"/>
              <w:marBottom w:val="0"/>
              <w:divBdr>
                <w:top w:val="none" w:sz="0" w:space="0" w:color="auto"/>
                <w:left w:val="none" w:sz="0" w:space="0" w:color="auto"/>
                <w:bottom w:val="none" w:sz="0" w:space="0" w:color="auto"/>
                <w:right w:val="none" w:sz="0" w:space="0" w:color="auto"/>
              </w:divBdr>
            </w:div>
            <w:div w:id="81531509">
              <w:marLeft w:val="0"/>
              <w:marRight w:val="0"/>
              <w:marTop w:val="0"/>
              <w:marBottom w:val="0"/>
              <w:divBdr>
                <w:top w:val="none" w:sz="0" w:space="0" w:color="auto"/>
                <w:left w:val="none" w:sz="0" w:space="0" w:color="auto"/>
                <w:bottom w:val="none" w:sz="0" w:space="0" w:color="auto"/>
                <w:right w:val="none" w:sz="0" w:space="0" w:color="auto"/>
              </w:divBdr>
            </w:div>
            <w:div w:id="594633549">
              <w:marLeft w:val="0"/>
              <w:marRight w:val="0"/>
              <w:marTop w:val="0"/>
              <w:marBottom w:val="0"/>
              <w:divBdr>
                <w:top w:val="none" w:sz="0" w:space="0" w:color="auto"/>
                <w:left w:val="none" w:sz="0" w:space="0" w:color="auto"/>
                <w:bottom w:val="none" w:sz="0" w:space="0" w:color="auto"/>
                <w:right w:val="none" w:sz="0" w:space="0" w:color="auto"/>
              </w:divBdr>
            </w:div>
            <w:div w:id="824779500">
              <w:marLeft w:val="0"/>
              <w:marRight w:val="0"/>
              <w:marTop w:val="0"/>
              <w:marBottom w:val="0"/>
              <w:divBdr>
                <w:top w:val="none" w:sz="0" w:space="0" w:color="auto"/>
                <w:left w:val="none" w:sz="0" w:space="0" w:color="auto"/>
                <w:bottom w:val="none" w:sz="0" w:space="0" w:color="auto"/>
                <w:right w:val="none" w:sz="0" w:space="0" w:color="auto"/>
              </w:divBdr>
            </w:div>
            <w:div w:id="1317105748">
              <w:marLeft w:val="0"/>
              <w:marRight w:val="0"/>
              <w:marTop w:val="0"/>
              <w:marBottom w:val="0"/>
              <w:divBdr>
                <w:top w:val="none" w:sz="0" w:space="0" w:color="auto"/>
                <w:left w:val="none" w:sz="0" w:space="0" w:color="auto"/>
                <w:bottom w:val="none" w:sz="0" w:space="0" w:color="auto"/>
                <w:right w:val="none" w:sz="0" w:space="0" w:color="auto"/>
              </w:divBdr>
            </w:div>
            <w:div w:id="2132631674">
              <w:marLeft w:val="0"/>
              <w:marRight w:val="0"/>
              <w:marTop w:val="0"/>
              <w:marBottom w:val="0"/>
              <w:divBdr>
                <w:top w:val="none" w:sz="0" w:space="0" w:color="auto"/>
                <w:left w:val="none" w:sz="0" w:space="0" w:color="auto"/>
                <w:bottom w:val="none" w:sz="0" w:space="0" w:color="auto"/>
                <w:right w:val="none" w:sz="0" w:space="0" w:color="auto"/>
              </w:divBdr>
            </w:div>
            <w:div w:id="1120951265">
              <w:marLeft w:val="0"/>
              <w:marRight w:val="0"/>
              <w:marTop w:val="0"/>
              <w:marBottom w:val="0"/>
              <w:divBdr>
                <w:top w:val="none" w:sz="0" w:space="0" w:color="auto"/>
                <w:left w:val="none" w:sz="0" w:space="0" w:color="auto"/>
                <w:bottom w:val="none" w:sz="0" w:space="0" w:color="auto"/>
                <w:right w:val="none" w:sz="0" w:space="0" w:color="auto"/>
              </w:divBdr>
            </w:div>
            <w:div w:id="2093307370">
              <w:marLeft w:val="0"/>
              <w:marRight w:val="0"/>
              <w:marTop w:val="0"/>
              <w:marBottom w:val="0"/>
              <w:divBdr>
                <w:top w:val="none" w:sz="0" w:space="0" w:color="auto"/>
                <w:left w:val="none" w:sz="0" w:space="0" w:color="auto"/>
                <w:bottom w:val="none" w:sz="0" w:space="0" w:color="auto"/>
                <w:right w:val="none" w:sz="0" w:space="0" w:color="auto"/>
              </w:divBdr>
            </w:div>
            <w:div w:id="576398309">
              <w:marLeft w:val="0"/>
              <w:marRight w:val="0"/>
              <w:marTop w:val="0"/>
              <w:marBottom w:val="0"/>
              <w:divBdr>
                <w:top w:val="none" w:sz="0" w:space="0" w:color="auto"/>
                <w:left w:val="none" w:sz="0" w:space="0" w:color="auto"/>
                <w:bottom w:val="none" w:sz="0" w:space="0" w:color="auto"/>
                <w:right w:val="none" w:sz="0" w:space="0" w:color="auto"/>
              </w:divBdr>
            </w:div>
            <w:div w:id="56303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09550">
      <w:bodyDiv w:val="1"/>
      <w:marLeft w:val="0"/>
      <w:marRight w:val="0"/>
      <w:marTop w:val="0"/>
      <w:marBottom w:val="0"/>
      <w:divBdr>
        <w:top w:val="none" w:sz="0" w:space="0" w:color="auto"/>
        <w:left w:val="none" w:sz="0" w:space="0" w:color="auto"/>
        <w:bottom w:val="none" w:sz="0" w:space="0" w:color="auto"/>
        <w:right w:val="none" w:sz="0" w:space="0" w:color="auto"/>
      </w:divBdr>
    </w:div>
    <w:div w:id="2052266993">
      <w:bodyDiv w:val="1"/>
      <w:marLeft w:val="0"/>
      <w:marRight w:val="0"/>
      <w:marTop w:val="0"/>
      <w:marBottom w:val="0"/>
      <w:divBdr>
        <w:top w:val="none" w:sz="0" w:space="0" w:color="auto"/>
        <w:left w:val="none" w:sz="0" w:space="0" w:color="auto"/>
        <w:bottom w:val="none" w:sz="0" w:space="0" w:color="auto"/>
        <w:right w:val="none" w:sz="0" w:space="0" w:color="auto"/>
      </w:divBdr>
    </w:div>
    <w:div w:id="2119593429">
      <w:bodyDiv w:val="1"/>
      <w:marLeft w:val="0"/>
      <w:marRight w:val="0"/>
      <w:marTop w:val="0"/>
      <w:marBottom w:val="0"/>
      <w:divBdr>
        <w:top w:val="none" w:sz="0" w:space="0" w:color="auto"/>
        <w:left w:val="none" w:sz="0" w:space="0" w:color="auto"/>
        <w:bottom w:val="none" w:sz="0" w:space="0" w:color="auto"/>
        <w:right w:val="none" w:sz="0" w:space="0" w:color="auto"/>
      </w:divBdr>
      <w:divsChild>
        <w:div w:id="2103912257">
          <w:marLeft w:val="0"/>
          <w:marRight w:val="0"/>
          <w:marTop w:val="0"/>
          <w:marBottom w:val="0"/>
          <w:divBdr>
            <w:top w:val="none" w:sz="0" w:space="0" w:color="auto"/>
            <w:left w:val="none" w:sz="0" w:space="0" w:color="auto"/>
            <w:bottom w:val="none" w:sz="0" w:space="0" w:color="auto"/>
            <w:right w:val="none" w:sz="0" w:space="0" w:color="auto"/>
          </w:divBdr>
          <w:divsChild>
            <w:div w:id="11988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062DFF-C202-402F-81FA-3F09B2651533}"/>
      </w:docPartPr>
      <w:docPartBody>
        <w:p w:rsidR="00000000" w:rsidRDefault="00F43397">
          <w:r w:rsidRPr="00A94C68">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397"/>
    <w:rsid w:val="00D122F4"/>
    <w:rsid w:val="00F4339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ES" w:eastAsia="es-E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rsid w:val="00F43397"/>
    <w:rPr>
      <w:color w:val="808080"/>
    </w:rPr>
  </w:style>
  <w:style w:type="paragraph" w:customStyle="1" w:styleId="3FA9CB60621D4536B782841F74868B21">
    <w:name w:val="3FA9CB60621D4536B782841F74868B21"/>
    <w:rsid w:val="00F433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 dockstate="right" visibility="0" width="438"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257589DD-89E3-44B3-A6A4-C1CAB6ADA179}">
  <we:reference id="wa104382081" version="1.55.1.0" store="es-ES" storeType="OMEX"/>
  <we:alternateReferences>
    <we:reference id="wa104382081" version="1.55.1.0" store="" storeType="OMEX"/>
  </we:alternateReferences>
  <we:properties>
    <we:property name="MENDELEY_CITATIONS" value="[{&quot;citationID&quot;:&quot;MENDELEY_CITATION_55818796-f14e-442a-8a59-6d73ca9b1ec0&quot;,&quot;properties&quot;:{&quot;noteIndex&quot;:0},&quot;isEdited&quot;:false,&quot;manualOverride&quot;:{&quot;isManuallyOverridden&quot;:false,&quot;citeprocText&quot;:&quot;[1]&quot;,&quot;manualOverrideText&quot;:&quot;&quot;},&quot;citationTag&quot;:&quot;MENDELEY_CITATION_v3_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&quot;,&quot;citationItems&quot;:[{&quot;id&quot;:&quot;0e57d77d-a5ef-3d82-bc72-49ec26a294f9&quot;,&quot;itemData&quot;:{&quot;type&quot;:&quot;article-journal&quot;,&quot;id&quot;:&quot;0e57d77d-a5ef-3d82-bc72-49ec26a294f9&quot;,&quot;title&quot;:&quot;Gender-related differences in ion-channel and transporter subunit expression in non-diseased human hearts&quot;,&quot;author&quot;:[{&quot;family&quot;:&quot;Gaborit&quot;,&quot;given&quot;:&quot;Nathalie&quot;,&quot;parse-names&quot;:false,&quot;dropping-particle&quot;:&quot;&quot;,&quot;non-dropping-particle&quot;:&quot;&quot;},{&quot;family&quot;:&quot;Varro&quot;,&quot;given&quot;:&quot;Andras&quot;,&quot;parse-names&quot;:false,&quot;dropping-particle&quot;:&quot;&quot;,&quot;non-dropping-particle&quot;:&quot;&quot;},{&quot;family&quot;:&quot;Bouter&quot;,&quot;given&quot;:&quot;Sabrina&quot;,&quot;parse-names&quot;:false,&quot;dropping-particle&quot;:&quot;&quot;,&quot;non-dropping-particle&quot;:&quot;Le&quot;},{&quot;family&quot;:&quot;Szuts&quot;,&quot;given&quot;:&quot;Viktoria&quot;,&quot;parse-names&quot;:false,&quot;dropping-particle&quot;:&quot;&quot;,&quot;non-dropping-particle&quot;:&quot;&quot;},{&quot;family&quot;:&quot;Escande&quot;,&quot;given&quot;:&quot;Denis&quot;,&quot;parse-names&quot;:false,&quot;dropping-particle&quot;:&quot;&quot;,&quot;non-dropping-particle&quot;:&quot;&quot;},{&quot;family&quot;:&quot;Nattel&quot;,&quot;given&quot;:&quot;Stanley&quot;,&quot;parse-names&quot;:false,&quot;dropping-particle&quot;:&quot;&quot;,&quot;non-dropping-particle&quot;:&quot;&quot;},{&quot;family&quot;:&quot;Demolombe&quot;,&quot;given&quot;:&quot;Sophie&quot;,&quot;parse-names&quot;:false,&quot;dropping-particle&quot;:&quot;&quot;,&quot;non-dropping-particle&quot;:&quot;&quot;}],&quot;container-title&quot;:&quot;Journal of molecular and cellular cardiology&quot;,&quot;container-title-short&quot;:&quot;J Mol Cell Cardiol&quot;,&quot;accessed&quot;:{&quot;date-parts&quot;:[[2022,8,25]]},&quot;DOI&quot;:&quot;10.1016/J.YJMCC.2010.06.005&quot;,&quot;ISSN&quot;:&quot;1095-8584&quot;,&quot;PMID&quot;:&quot;20600101&quot;,&quot;URL&quot;:&quot;https://pubmed.ncbi.nlm.nih.gov/20600101/&quot;,&quot;issued&quot;:{&quot;date-parts&quot;:[[2010,10]]},&quot;page&quot;:&quot;639-646&quot;,&quot;abstract&quot;:&quot;Gender-related differences in ventricular electrophysiology are known to be important determinants of human arrhythmic risk, but the underlying molecular basis is poorly understood. The present work aims to provide the first detailed analysis of gender-related cardiac ion-channel gene-distribution, based on samples from non-diseased human hearts. By using a high-throughput quantitative approach, we investigated at a genome-scale the expression of 79 genes encoding ion-channel and transporter subunits in epicardial and endocardial tissue samples from non-diseased transplant donors (10 males, 10 females). Gender-related expression differences involved key genes implicated in conduction and repolarization. Female hearts showed reduced expression for a variety of K+-channel subunits with potentially important roles in cardiac repolarization, including HERG, minK, Kir2.3, Kv1.4, KChIP2, SUR2 and Kir6.2, as well as lower expression of connexin43 and phospholamban. In addition, they demonstrated an isoform switch in Na+/K+-ATPase, expressing more of the α1 and less of the α3 subunit than male hearts, along with increased expression of calmodulin-3. Iroquois transcription factors (IRX3, IRX5) were more strongly expressed in female than male epicardium, but the transmural gradient remained. Protein-expression paralleled transcript patterns for all subunits examined: HERG, minK, Kv1.4, KChIP2, IRX5, Nav1.5 and connexin43. Our results indicate that male and female human hearts have significant differences in ion-channel subunit composition, with female hearts showing decreased expression for a number of repolarizing ion-channels. These findings are important for understanding sex-related differences in the susceptibility to ventricular arrhythmias, particularly for conditions associated with repolarization abnormalities like Brugada and Long QT syndrome. © 2010 Elsevier Ltd.&quot;,&quot;publisher&quot;:&quot;J Mol Cell Cardiol&quot;,&quot;issue&quot;:&quot;4&quot;,&quot;volume&quot;:&quot;49&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word/webextensions/webextension2.xml><?xml version="1.0" encoding="utf-8"?>
<we:webextension xmlns:we="http://schemas.microsoft.com/office/webextensions/webextension/2010/11" id="{77B388CB-2190-49B0-9680-5062AF049900}">
  <we:reference id="wa200001361" version="2.2.1.0" store="es-ES" storeType="OMEX"/>
  <we:alternateReferences>
    <we:reference id="wa200001361" version="2.2.1.0" store="WA200001361" storeType="OMEX"/>
  </we:alternateReferences>
  <we:properties>
    <we:property name="paperpal-document-id" value="&quot;efc0345d-7441-43d5-94ab-9868a6fb8531&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EF568-5B7E-4F30-AA8C-4A4590CA3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645</TotalTime>
  <Pages>2</Pages>
  <Words>506</Words>
  <Characters>2784</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JORDI LLOPIS LORENTE</dc:creator>
  <cp:keywords/>
  <dc:description/>
  <cp:lastModifiedBy>Jordi Llopis Lorente</cp:lastModifiedBy>
  <cp:revision>6</cp:revision>
  <dcterms:created xsi:type="dcterms:W3CDTF">2023-05-01T11:37:00Z</dcterms:created>
  <dcterms:modified xsi:type="dcterms:W3CDTF">2023-05-04T23:55:00Z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db15344e315a5e23d6fb9633d21b94bafd4714fb801996c369b139eb5f76491e</vt:lpwstr>
  </property>
</Properties>
</file>